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26000D" w:rsidRPr="002562B5" w:rsidP="008A7E71">
      <w:pPr>
        <w:pStyle w:val="MainTitle"/>
      </w:pPr>
      <w:r w:rsidR="00A44EB7">
        <w:drawing>
          <wp:anchor simplePos="0" relativeHeight="251658240" behindDoc="0" locked="1" layoutInCell="1" allowOverlap="1">
            <wp:simplePos x="0" y="0"/>
            <wp:positionH relativeFrom="margin">
              <wp:posOffset>2730500</wp:posOffset>
            </wp:positionH>
            <wp:positionV relativeFrom="margin">
              <wp:posOffset>6223000</wp:posOffset>
            </wp:positionV>
            <wp:extent cx="1645923" cy="1120142"/>
            <wp:wrapNone/>
            <wp:docPr id="100037"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xmlns:r="http://schemas.openxmlformats.org/officeDocument/2006/relationships" r:embed="rId5"/>
                    <a:stretch>
                      <a:fillRect/>
                    </a:stretch>
                  </pic:blipFill>
                  <pic:spPr>
                    <a:xfrm>
                      <a:off x="0" y="0"/>
                      <a:ext cx="1645923" cy="1120142"/>
                    </a:xfrm>
                    <a:prstGeom prst="rect">
                      <a:avLst/>
                    </a:prstGeom>
                  </pic:spPr>
                </pic:pic>
              </a:graphicData>
            </a:graphic>
          </wp:anchor>
        </w:drawing>
      </w:r>
      <w:r w:rsidRPr="002562B5">
        <w:rPr>
          <w:noProof/>
        </w:rPr>
        <mc:AlternateContent>
          <mc:Choice Requires="wpg">
            <w:drawing>
              <wp:anchor distT="0" distB="0" distL="114300" distR="114300" simplePos="0" relativeHeight="251666432" behindDoc="1" locked="0" layoutInCell="1" allowOverlap="1">
                <wp:simplePos x="0" y="0"/>
                <wp:positionH relativeFrom="column">
                  <wp:posOffset>-430886</wp:posOffset>
                </wp:positionH>
                <wp:positionV relativeFrom="page">
                  <wp:posOffset>2506345</wp:posOffset>
                </wp:positionV>
                <wp:extent cx="7747000" cy="2968625"/>
                <wp:effectExtent l="0" t="0" r="6350" b="3175"/>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7747000" cy="2968625"/>
                          <a:chOff x="25008" y="0"/>
                          <a:chExt cx="7747228" cy="2968798"/>
                        </a:xfrm>
                      </wpg:grpSpPr>
                      <wpg:grpSp>
                        <wpg:cNvPr id="2" name="Group 2"/>
                        <wpg:cNvGrpSpPr/>
                        <wpg:grpSpPr>
                          <a:xfrm>
                            <a:off x="25008" y="0"/>
                            <a:ext cx="7747228" cy="960638"/>
                            <a:chOff x="25008" y="0"/>
                            <a:chExt cx="7747228" cy="960638"/>
                          </a:xfrm>
                        </wpg:grpSpPr>
                        <pic:pic xmlns:pic="http://schemas.openxmlformats.org/drawingml/2006/picture">
                          <pic:nvPicPr>
                            <pic:cNvPr id="3" name="Picture 3"/>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25008" y="327622"/>
                              <a:ext cx="7747228" cy="633016"/>
                            </a:xfrm>
                            <a:prstGeom prst="rect">
                              <a:avLst/>
                            </a:prstGeom>
                          </pic:spPr>
                        </pic:pic>
                        <wps:wsp xmlns:wps="http://schemas.microsoft.com/office/word/2010/wordprocessingShape">
                          <wps:cNvPr id="6"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rsidR="00A95ADA" w:rsidRPr="002562B5" w:rsidP="002562B5">
                                <w:pPr>
                                  <w:pStyle w:val="SectionedHeader"/>
                                </w:pPr>
                                <w:r>
                                  <w:t>OSHA Citations</w:t>
                                </w:r>
                              </w:p>
                            </w:txbxContent>
                          </wps:txbx>
                          <wps:bodyPr rot="0" vert="horz" wrap="square" lIns="91440" tIns="45720" rIns="91440" bIns="45720" anchor="t" anchorCtr="0"/>
                        </wps:wsp>
                      </wpg:grpSp>
                      <wps:wsp xmlns:wps="http://schemas.microsoft.com/office/word/2010/wordprocessingShape">
                        <wps:cNvPr id="217" name="Text Box 2"/>
                        <wps:cNvSpPr txBox="1">
                          <a:spLocks noChangeArrowheads="1"/>
                        </wps:cNvSpPr>
                        <wps:spPr bwMode="auto">
                          <a:xfrm>
                            <a:off x="5022273" y="360218"/>
                            <a:ext cx="2413000" cy="2608580"/>
                          </a:xfrm>
                          <a:prstGeom prst="rect">
                            <a:avLst/>
                          </a:prstGeom>
                          <a:noFill/>
                          <a:ln w="9525">
                            <a:noFill/>
                            <a:miter lim="800000"/>
                            <a:headEnd/>
                            <a:tailEnd/>
                          </a:ln>
                        </wps:spPr>
                        <wps:txbx>
                          <w:txbxContent>
                            <w:p w:rsidR="00A44EB7" w:rsidP="00A44EB7">
                              <w:pPr>
                                <w:pStyle w:val="Bullet"/>
                                <w:ind w:left="360"/>
                                <w:jc w:val="left"/>
                              </w:pPr>
                              <w:r>
                                <w:t>Citations must describe the particular nature of the violation.</w:t>
                              </w:r>
                            </w:p>
                            <w:p w:rsidR="00A44EB7" w:rsidP="00A44EB7">
                              <w:pPr>
                                <w:pStyle w:val="Bullet"/>
                                <w:ind w:left="360"/>
                                <w:jc w:val="left"/>
                              </w:pPr>
                              <w:r>
                                <w:t>OSHA will provide a reasonable time to correct the problem.</w:t>
                              </w:r>
                            </w:p>
                            <w:p w:rsidR="0024208C" w:rsidRPr="00526C74" w:rsidP="00A44EB7">
                              <w:pPr>
                                <w:pStyle w:val="Bullet"/>
                                <w:ind w:left="360"/>
                                <w:jc w:val="left"/>
                              </w:pPr>
                              <w:r>
                                <w:t>Citations must be posted at or near the location where the violation occurred and must remain on display until the violation is corrected.</w:t>
                              </w:r>
                            </w:p>
                          </w:txbxContent>
                        </wps:txbx>
                        <wps:bodyPr rot="0" vert="horz" wrap="square" lIns="91440" tIns="45720" rIns="91440" bIns="45720" anchor="t" anchorCtr="0"/>
                      </wps:wsp>
                    </wpg:wgp>
                  </a:graphicData>
                </a:graphic>
                <wp14:sizeRelH relativeFrom="margin">
                  <wp14:pctWidth>0</wp14:pctWidth>
                </wp14:sizeRelH>
              </wp:anchor>
            </w:drawing>
          </mc:Choice>
          <mc:Fallback>
            <w:pict>
              <v:group id="Group 7" o:spid="_x0000_s1025" style="width:610.5pt;height:234pt;margin-top:197.35pt;margin-left:-33.93pt;mso-position-vertical-relative:page;mso-width-percent:0;mso-width-relative:margin;mso-wrap-distance-bottom:0;mso-wrap-distance-left:9pt;mso-wrap-distance-right:9pt;mso-wrap-distance-top:0;position:absolute;z-index:-251651072" coordorigin="69,0" coordsize="21600,21600">
                <v:group id="_x0000_s1026" style="width:21600;height:6989;left:70;position:absolute" coordorigin="69,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1600;height:14233;left:70;position:absolute;top:7367">
                    <v:imagedata r:id="rId6" o:title=""/>
                  </v:shape>
                  <v:shapetype id="_x0000_t202" coordsize="21600,21600" o:spt="202" path="m,l,21600r21600,l21600,xe">
                    <v:stroke joinstyle="miter"/>
                    <v:path gradientshapeok="t" o:connecttype="rect"/>
                  </v:shapetype>
                  <v:shape id="_x0000_s1028" type="#_x0000_t202" style="width:6728;height:7410;left:14001;position:absolute;v-text-anchor:top" filled="f" fillcolor="this" stroked="f" strokeweight="0.75pt">
                    <v:textbox>
                      <w:txbxContent>
                        <w:p w:rsidR="00A95ADA" w:rsidRPr="002562B5" w:rsidP="002562B5">
                          <w:pPr>
                            <w:pStyle w:val="SectionedHeader"/>
                          </w:pPr>
                          <w:r>
                            <w:t>OSHA Citations</w:t>
                          </w:r>
                        </w:p>
                      </w:txbxContent>
                    </v:textbox>
                  </v:shape>
                </v:group>
                <v:shape id="_x0000_s1029" type="#_x0000_t202" style="width:6728;height:18979;left:14003;position:absolute;top:2621;v-text-anchor:top" filled="f" fillcolor="this" stroked="f" strokeweight="0.75pt">
                  <v:textbox>
                    <w:txbxContent>
                      <w:p w:rsidR="00A44EB7" w:rsidP="00A44EB7">
                        <w:pPr>
                          <w:pStyle w:val="Bullet"/>
                          <w:ind w:left="360"/>
                          <w:jc w:val="left"/>
                        </w:pPr>
                        <w:r>
                          <w:t>Citations must describe the particular nature of the violation.</w:t>
                        </w:r>
                      </w:p>
                      <w:p w:rsidR="00A44EB7" w:rsidP="00A44EB7">
                        <w:pPr>
                          <w:pStyle w:val="Bullet"/>
                          <w:ind w:left="360"/>
                          <w:jc w:val="left"/>
                        </w:pPr>
                        <w:r>
                          <w:t>OSHA will provide a reasonable time to correct the problem.</w:t>
                        </w:r>
                      </w:p>
                      <w:p w:rsidR="0024208C" w:rsidRPr="00526C74" w:rsidP="00A44EB7">
                        <w:pPr>
                          <w:pStyle w:val="Bullet"/>
                          <w:ind w:left="360"/>
                          <w:jc w:val="left"/>
                        </w:pPr>
                        <w:r>
                          <w:t>Citations must be posted at or near the location where the violation occurred and must remain on display until the violation is corrected.</w:t>
                        </w:r>
                      </w:p>
                    </w:txbxContent>
                  </v:textbox>
                </v:shape>
              </v:group>
            </w:pict>
          </mc:Fallback>
        </mc:AlternateContent>
      </w:r>
      <w:r w:rsidR="00A44EB7">
        <w:t>OSHA Penalty Schedule</w:t>
      </w:r>
    </w:p>
    <w:p w:rsidR="00A44EB7" w:rsidP="00A44EB7">
      <w:pPr>
        <w:pStyle w:val="BodyText"/>
      </w:pPr>
      <w:r>
        <w:rPr>
          <w:noProof/>
        </w:rPr>
        <mc:AlternateContent>
          <mc:Choice Requires="wps">
            <w:drawing>
              <wp:anchor distT="0" distB="0" distL="114300" distR="114300" simplePos="0" relativeHeight="251660288" behindDoc="0" locked="0" layoutInCell="1" allowOverlap="1">
                <wp:simplePos x="0" y="0"/>
                <wp:positionH relativeFrom="margin">
                  <wp:posOffset>-98425</wp:posOffset>
                </wp:positionH>
                <wp:positionV relativeFrom="margin">
                  <wp:posOffset>5986087</wp:posOffset>
                </wp:positionV>
                <wp:extent cx="4344670" cy="59499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4344670" cy="594995"/>
                        </a:xfrm>
                        <a:prstGeom prst="rect">
                          <a:avLst/>
                        </a:prstGeom>
                        <a:noFill/>
                        <a:ln w="6350">
                          <a:noFill/>
                        </a:ln>
                        <a:effectLst/>
                      </wps:spPr>
                      <wps:txbx>
                        <w:txbxContent>
                          <w:p w:rsidR="00E6115F" w:rsidRPr="000847AD" w:rsidP="00E6115F">
                            <w:pPr>
                              <w:pStyle w:val="Header"/>
                              <w:rPr>
                                <w:sz w:val="20"/>
                                <w:szCs w:val="20"/>
                              </w:rPr>
                            </w:pPr>
                            <w:r w:rsidRPr="000847AD">
                              <w:rPr>
                                <w:color w:val="595959" w:themeColor="text1" w:themeTint="A6"/>
                                <w:sz w:val="20"/>
                                <w:szCs w:val="20"/>
                              </w:rPr>
                              <w:t xml:space="preserve">Provided to you by </w:t>
                            </w:r>
                            <w:r w:rsidRPr="002562B5">
                              <w:rPr>
                                <w:b/>
                                <w:color w:val="39945E"/>
                                <w:sz w:val="20"/>
                                <w:szCs w:val="20"/>
                              </w:rPr>
                              <w:t>Foundation Risk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0" type="#_x0000_t202" style="width:342.1pt;height:46.85pt;margin-top:471.35pt;margin-left:-7.75pt;mso-height-percent:0;mso-height-relative:margin;mso-position-horizontal-relative:margin;mso-position-vertical-relative:margin;mso-width-percent:0;mso-width-relative:margin;mso-wrap-distance-bottom:0;mso-wrap-distance-left:9pt;mso-wrap-distance-right:9pt;mso-wrap-distance-top:0;position:absolute;v-text-anchor:top;z-index:251659264" filled="f" fillcolor="this" stroked="f" strokeweight="0.5pt">
                <v:textbox>
                  <w:txbxContent>
                    <w:p w:rsidR="00E6115F" w:rsidRPr="000847AD" w:rsidP="00E6115F">
                      <w:pPr>
                        <w:pStyle w:val="Header"/>
                        <w:rPr>
                          <w:sz w:val="20"/>
                          <w:szCs w:val="20"/>
                        </w:rPr>
                      </w:pPr>
                      <w:r w:rsidRPr="000847AD">
                        <w:rPr>
                          <w:color w:val="595959" w:themeColor="text1" w:themeTint="A6"/>
                          <w:sz w:val="20"/>
                          <w:szCs w:val="20"/>
                        </w:rPr>
                        <w:t xml:space="preserve">Provided to you by </w:t>
                      </w:r>
                      <w:r w:rsidRPr="002562B5">
                        <w:rPr>
                          <w:b/>
                          <w:color w:val="39945E"/>
                          <w:sz w:val="20"/>
                          <w:szCs w:val="20"/>
                        </w:rPr>
                        <w:t>Foundation Risk Partners</w:t>
                      </w:r>
                    </w:p>
                  </w:txbxContent>
                </v:textbox>
                <w10:wrap anchorx="margin" anchory="margin"/>
              </v:shape>
            </w:pict>
          </mc:Fallback>
        </mc:AlternateContent>
      </w:r>
      <w:r w:rsidR="00A44EB7">
        <w:t xml:space="preserve">An employer receives a written citation when it violates OSHA standards or regulations. The citation will describe the particular nature of the violation and will include a reference to the provision of the chapter, standard, rule, regulation or order the employer violated. </w:t>
      </w:r>
    </w:p>
    <w:p w:rsidR="00A44EB7" w:rsidP="00A44EB7">
      <w:pPr>
        <w:pStyle w:val="BodyText"/>
      </w:pPr>
      <w:r>
        <w:t>In addition, the citation will provide a reasonable amount of time for the employer to correct the problem. When the violation does not pose a direct or immediate threat to safety or health (</w:t>
      </w:r>
      <w:r w:rsidRPr="00F6678C">
        <w:rPr>
          <w:i/>
        </w:rPr>
        <w:t>de minimis</w:t>
      </w:r>
      <w:r>
        <w:t xml:space="preserve"> violation), OSHA may issue a notice or warning instead of a citation.</w:t>
      </w:r>
    </w:p>
    <w:p w:rsidR="00A357CD" w:rsidP="00A44EB7">
      <w:pPr>
        <w:pStyle w:val="BodyText"/>
      </w:pPr>
      <w:r>
        <w:rPr>
          <w:noProof/>
        </w:rPr>
        <mc:AlternateContent>
          <mc:Choice Requires="wpg">
            <w:drawing>
              <wp:anchor distT="0" distB="0" distL="114300" distR="114300" simplePos="0" relativeHeight="251662336" behindDoc="1" locked="0" layoutInCell="1" allowOverlap="1">
                <wp:simplePos x="0" y="0"/>
                <wp:positionH relativeFrom="page">
                  <wp:posOffset>9525</wp:posOffset>
                </wp:positionH>
                <wp:positionV relativeFrom="page">
                  <wp:posOffset>5562600</wp:posOffset>
                </wp:positionV>
                <wp:extent cx="7766685" cy="2827020"/>
                <wp:effectExtent l="0" t="0" r="5715"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7766685" cy="2827020"/>
                          <a:chOff x="4131" y="0"/>
                          <a:chExt cx="7766964" cy="2827251"/>
                        </a:xfrm>
                      </wpg:grpSpPr>
                      <wpg:grpSp>
                        <wpg:cNvPr id="8" name="Group 8"/>
                        <wpg:cNvGrpSpPr/>
                        <wpg:grpSpPr>
                          <a:xfrm>
                            <a:off x="4131" y="0"/>
                            <a:ext cx="7766964" cy="962206"/>
                            <a:chOff x="4131" y="0"/>
                            <a:chExt cx="7766964" cy="962206"/>
                          </a:xfrm>
                        </wpg:grpSpPr>
                        <pic:pic xmlns:pic="http://schemas.openxmlformats.org/drawingml/2006/picture">
                          <pic:nvPicPr>
                            <pic:cNvPr id="11" name="Picture 11"/>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4131" y="327606"/>
                              <a:ext cx="7766964" cy="634600"/>
                            </a:xfrm>
                            <a:prstGeom prst="rect">
                              <a:avLst/>
                            </a:prstGeom>
                          </pic:spPr>
                        </pic:pic>
                        <wps:wsp xmlns:wps="http://schemas.microsoft.com/office/word/2010/wordprocessingShape">
                          <wps:cNvPr id="12"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rsidR="00677DD4" w:rsidRPr="00B27C10" w:rsidP="002562B5">
                                <w:pPr>
                                  <w:pStyle w:val="SectionedHeader"/>
                                </w:pPr>
                                <w:r>
                                  <w:t>202</w:t>
                                </w:r>
                                <w:r w:rsidR="008F6E0D">
                                  <w:t>2</w:t>
                                </w:r>
                                <w:r>
                                  <w:t xml:space="preserve"> Penalties</w:t>
                                </w:r>
                              </w:p>
                            </w:txbxContent>
                          </wps:txbx>
                          <wps:bodyPr rot="0" vert="horz" wrap="square" lIns="91440" tIns="45720" rIns="91440" bIns="45720" anchor="t" anchorCtr="0"/>
                        </wps:wsp>
                      </wpg:grpSp>
                      <wps:wsp xmlns:wps="http://schemas.microsoft.com/office/word/2010/wordprocessingShape">
                        <wps:cNvPr id="14" name="Text Box 2"/>
                        <wps:cNvSpPr txBox="1">
                          <a:spLocks noChangeArrowheads="1"/>
                        </wps:cNvSpPr>
                        <wps:spPr bwMode="auto">
                          <a:xfrm>
                            <a:off x="5029200" y="353291"/>
                            <a:ext cx="2519002" cy="2473960"/>
                          </a:xfrm>
                          <a:prstGeom prst="rect">
                            <a:avLst/>
                          </a:prstGeom>
                          <a:noFill/>
                          <a:ln w="9525">
                            <a:noFill/>
                            <a:miter lim="800000"/>
                            <a:headEnd/>
                            <a:tailEnd/>
                          </a:ln>
                        </wps:spPr>
                        <wps:txbx>
                          <w:txbxContent>
                            <w:p w:rsidR="00A44EB7" w:rsidP="00A44EB7">
                              <w:pPr>
                                <w:pStyle w:val="Bullet"/>
                                <w:ind w:left="360"/>
                                <w:jc w:val="left"/>
                              </w:pPr>
                              <w:r>
                                <w:t>$</w:t>
                              </w:r>
                              <w:r w:rsidR="008F6E0D">
                                <w:t>14,502</w:t>
                              </w:r>
                              <w:r>
                                <w:t xml:space="preserve"> per serious, other-than-serious and posting violation</w:t>
                              </w:r>
                            </w:p>
                            <w:p w:rsidR="00A44EB7" w:rsidP="00A44EB7">
                              <w:pPr>
                                <w:pStyle w:val="Bullet"/>
                                <w:ind w:left="360"/>
                                <w:jc w:val="left"/>
                              </w:pPr>
                              <w:r>
                                <w:t>$</w:t>
                              </w:r>
                              <w:r w:rsidR="008F6E0D">
                                <w:t>14,502</w:t>
                              </w:r>
                              <w:r>
                                <w:t xml:space="preserve"> per day for failure to abate a violation</w:t>
                              </w:r>
                            </w:p>
                            <w:p w:rsidR="00677DD4" w:rsidP="00A44EB7">
                              <w:pPr>
                                <w:pStyle w:val="Bullet"/>
                                <w:ind w:left="360"/>
                                <w:jc w:val="left"/>
                              </w:pPr>
                              <w:r>
                                <w:t>$</w:t>
                              </w:r>
                              <w:r w:rsidR="008F6E0D">
                                <w:t>145,027</w:t>
                              </w:r>
                              <w:r>
                                <w:t xml:space="preserve"> per willful or repeated violation</w:t>
                              </w:r>
                            </w:p>
                          </w:txbxContent>
                        </wps:txbx>
                        <wps:bodyPr rot="0" vert="horz" wrap="square" lIns="91440" tIns="45720" rIns="91440" bIns="45720" anchor="t" anchorCtr="0"/>
                      </wps:wsp>
                    </wpg:wgp>
                  </a:graphicData>
                </a:graphic>
                <wp14:sizeRelH relativeFrom="margin">
                  <wp14:pctWidth>0</wp14:pctWidth>
                </wp14:sizeRelH>
              </wp:anchor>
            </w:drawing>
          </mc:Choice>
          <mc:Fallback>
            <w:pict>
              <v:group id="Group 10" o:spid="_x0000_s1031" style="width:612pt;height:222.6pt;margin-top:438pt;margin-left:0.75pt;mso-position-horizontal-relative:page;mso-position-vertical-relative:page;mso-width-percent:0;mso-width-relative:margin;mso-wrap-distance-bottom:0;mso-wrap-distance-left:9pt;mso-wrap-distance-right:9pt;mso-wrap-distance-top:0;position:absolute;z-index:-251655168" coordorigin="11,0" coordsize="21600,21600">
                <v:group id="_x0000_s1032" style="width:21600;height:7351;left:11;position:absolute" coordorigin="11,0" coordsize="21600,21600">
                  <v:shape id="_x0000_s1033" type="#_x0000_t75" style="width:21600;height:14246;left:11;position:absolute;top:7354">
                    <v:imagedata r:id="rId6" o:title=""/>
                  </v:shape>
                  <v:shape id="_x0000_s1034" type="#_x0000_t202" style="width:6711;height:7398;left:13965;position:absolute;v-text-anchor:top" filled="f" fillcolor="this" stroked="f" strokeweight="0.75pt">
                    <v:textbox>
                      <w:txbxContent>
                        <w:p w:rsidR="00677DD4" w:rsidRPr="00B27C10" w:rsidP="002562B5">
                          <w:pPr>
                            <w:pStyle w:val="SectionedHeader"/>
                          </w:pPr>
                          <w:r>
                            <w:t>202</w:t>
                          </w:r>
                          <w:r w:rsidR="008F6E0D">
                            <w:t>2</w:t>
                          </w:r>
                          <w:r>
                            <w:t xml:space="preserve"> Penalties</w:t>
                          </w:r>
                        </w:p>
                      </w:txbxContent>
                    </v:textbox>
                  </v:shape>
                </v:group>
                <v:shape id="_x0000_s1035" type="#_x0000_t202" style="width:7005;height:18901;left:13986;position:absolute;top:2699;v-text-anchor:top" filled="f" fillcolor="this" stroked="f" strokeweight="0.75pt">
                  <v:textbox>
                    <w:txbxContent>
                      <w:p w:rsidR="00A44EB7" w:rsidP="00A44EB7">
                        <w:pPr>
                          <w:pStyle w:val="Bullet"/>
                          <w:ind w:left="360"/>
                          <w:jc w:val="left"/>
                        </w:pPr>
                        <w:r>
                          <w:t>$</w:t>
                        </w:r>
                        <w:r w:rsidR="008F6E0D">
                          <w:t>14,502</w:t>
                        </w:r>
                        <w:r>
                          <w:t xml:space="preserve"> per serious, other-than-serious and posting violation</w:t>
                        </w:r>
                      </w:p>
                      <w:p w:rsidR="00A44EB7" w:rsidP="00A44EB7">
                        <w:pPr>
                          <w:pStyle w:val="Bullet"/>
                          <w:ind w:left="360"/>
                          <w:jc w:val="left"/>
                        </w:pPr>
                        <w:r>
                          <w:t>$</w:t>
                        </w:r>
                        <w:r w:rsidR="008F6E0D">
                          <w:t>14,502</w:t>
                        </w:r>
                        <w:r>
                          <w:t xml:space="preserve"> per day for failure to abate a violation</w:t>
                        </w:r>
                      </w:p>
                      <w:p w:rsidR="00677DD4" w:rsidP="00A44EB7">
                        <w:pPr>
                          <w:pStyle w:val="Bullet"/>
                          <w:ind w:left="360"/>
                          <w:jc w:val="left"/>
                        </w:pPr>
                        <w:r>
                          <w:t>$</w:t>
                        </w:r>
                        <w:r w:rsidR="008F6E0D">
                          <w:t>145,027</w:t>
                        </w:r>
                        <w:r>
                          <w:t xml:space="preserve"> per willful or repeated violation</w:t>
                        </w:r>
                      </w:p>
                    </w:txbxContent>
                  </v:textbox>
                </v:shap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-9525</wp:posOffset>
                </wp:positionH>
                <wp:positionV relativeFrom="page">
                  <wp:posOffset>7000875</wp:posOffset>
                </wp:positionV>
                <wp:extent cx="4356735" cy="1170305"/>
                <wp:effectExtent l="0" t="0" r="5715" b="0"/>
                <wp:wrapTopAndBottom/>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56735" cy="1170305"/>
                        </a:xfrm>
                        <a:prstGeom prst="rect">
                          <a:avLst/>
                        </a:prstGeom>
                        <a:solidFill>
                          <a:srgbClr val="39945E">
                            <a:alpha val="10000"/>
                          </a:srgbClr>
                        </a:solidFill>
                        <a:ln w="38100">
                          <a:noFill/>
                          <a:miter lim="800000"/>
                          <a:headEnd/>
                          <a:tailEnd/>
                        </a:ln>
                      </wps:spPr>
                      <wps:txbx>
                        <w:txbxContent>
                          <w:p w:rsidR="008C01A9" w:rsidRPr="002562B5" w:rsidP="00A95ADA">
                            <w:pPr>
                              <w:pStyle w:val="LR-Heading"/>
                              <w:rPr>
                                <w:color w:val="39945E"/>
                              </w:rPr>
                            </w:pPr>
                            <w:r w:rsidRPr="002562B5">
                              <w:rPr>
                                <w:color w:val="39945E"/>
                              </w:rPr>
                              <w:t>Links and Resources</w:t>
                            </w:r>
                          </w:p>
                          <w:p w:rsidR="00A44EB7" w:rsidRPr="00A44EB7" w:rsidP="00A44EB7">
                            <w:pPr>
                              <w:pStyle w:val="Bullet"/>
                            </w:pPr>
                            <w:r w:rsidRPr="00A44EB7">
                              <w:t xml:space="preserve">OSHA enforcement </w:t>
                            </w:r>
                            <w:hyperlink r:id="rId7" w:history="1">
                              <w:r w:rsidRPr="00A44EB7">
                                <w:rPr>
                                  <w:rStyle w:val="Hyperlink"/>
                                </w:rPr>
                                <w:t>website</w:t>
                              </w:r>
                            </w:hyperlink>
                          </w:p>
                          <w:p w:rsidR="00A44EB7" w:rsidRPr="00A44EB7" w:rsidP="00A44EB7">
                            <w:pPr>
                              <w:pStyle w:val="Bullet"/>
                            </w:pPr>
                            <w:r w:rsidRPr="00A44EB7">
                              <w:t xml:space="preserve">OSHA penalties </w:t>
                            </w:r>
                            <w:hyperlink r:id="rId8" w:history="1">
                              <w:r w:rsidRPr="00A44EB7">
                                <w:rPr>
                                  <w:rStyle w:val="Hyperlink"/>
                                </w:rPr>
                                <w:t>website</w:t>
                              </w:r>
                            </w:hyperlink>
                          </w:p>
                          <w:p w:rsidR="00A44EB7" w:rsidRPr="00A44EB7" w:rsidP="00A44EB7">
                            <w:pPr>
                              <w:pStyle w:val="Bullet"/>
                            </w:pPr>
                            <w:r w:rsidRPr="00A44EB7">
                              <w:t xml:space="preserve">OSHA penalty adjustment </w:t>
                            </w:r>
                            <w:hyperlink r:id="rId9" w:history="1">
                              <w:r w:rsidRPr="00A44EB7">
                                <w:rPr>
                                  <w:rStyle w:val="Hyperlink"/>
                                </w:rPr>
                                <w:t>ru</w:t>
                              </w:r>
                              <w:r w:rsidRPr="00A44EB7">
                                <w:rPr>
                                  <w:rStyle w:val="Hyperlink"/>
                                </w:rPr>
                                <w:t>l</w:t>
                              </w:r>
                              <w:r w:rsidRPr="00A44EB7">
                                <w:rPr>
                                  <w:rStyle w:val="Hyperlink"/>
                                </w:rPr>
                                <w:t>e</w:t>
                              </w:r>
                            </w:hyperlink>
                            <w:r w:rsidRPr="00A44EB7">
                              <w:t xml:space="preserve"> </w:t>
                            </w:r>
                          </w:p>
                          <w:p w:rsidR="008C01A9" w:rsidRPr="007201D3" w:rsidP="00A44EB7">
                            <w:pPr>
                              <w:pStyle w:val="BulletList"/>
                              <w:jc w:val="left"/>
                            </w:pPr>
                          </w:p>
                        </w:txbxContent>
                      </wps:txbx>
                      <wps:bodyPr rot="0" vert="horz" wrap="square" lIns="91440" tIns="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 o:spid="_x0000_s1036" type="#_x0000_t202" style="width:343.05pt;height:92.15pt;margin-top:551.25pt;margin-left:-0.75pt;mso-height-percent:0;mso-height-relative:margin;mso-position-horizontal-relative:margin;mso-position-vertical-relative:page;mso-width-percent:0;mso-width-relative:margin;mso-wrap-distance-bottom:0;mso-wrap-distance-left:9pt;mso-wrap-distance-right:9pt;mso-wrap-distance-top:0;position:absolute;v-text-anchor:top;z-index:251663360" fillcolor="#39945e" stroked="f" strokeweight="3pt">
                <v:fill opacity="6682f"/>
                <v:textbox inset=",0">
                  <w:txbxContent>
                    <w:p w:rsidR="008C01A9" w:rsidRPr="002562B5" w:rsidP="00A95ADA">
                      <w:pPr>
                        <w:pStyle w:val="LR-Heading"/>
                        <w:rPr>
                          <w:color w:val="39945E"/>
                        </w:rPr>
                      </w:pPr>
                      <w:r w:rsidRPr="002562B5">
                        <w:rPr>
                          <w:color w:val="39945E"/>
                        </w:rPr>
                        <w:t>Links and Resources</w:t>
                      </w:r>
                    </w:p>
                    <w:p w:rsidR="00A44EB7" w:rsidRPr="00A44EB7" w:rsidP="00A44EB7">
                      <w:pPr>
                        <w:pStyle w:val="Bullet"/>
                      </w:pPr>
                      <w:r w:rsidRPr="00A44EB7">
                        <w:t xml:space="preserve">OSHA enforcement </w:t>
                      </w:r>
                      <w:hyperlink r:id="rId7" w:history="1">
                        <w:r w:rsidRPr="00A44EB7">
                          <w:rPr>
                            <w:rStyle w:val="Hyperlink"/>
                          </w:rPr>
                          <w:t>website</w:t>
                        </w:r>
                      </w:hyperlink>
                    </w:p>
                    <w:p w:rsidR="00A44EB7" w:rsidRPr="00A44EB7" w:rsidP="00A44EB7">
                      <w:pPr>
                        <w:pStyle w:val="Bullet"/>
                      </w:pPr>
                      <w:r w:rsidRPr="00A44EB7">
                        <w:t xml:space="preserve">OSHA penalties </w:t>
                      </w:r>
                      <w:hyperlink r:id="rId8" w:history="1">
                        <w:r w:rsidRPr="00A44EB7">
                          <w:rPr>
                            <w:rStyle w:val="Hyperlink"/>
                          </w:rPr>
                          <w:t>website</w:t>
                        </w:r>
                      </w:hyperlink>
                    </w:p>
                    <w:p w:rsidR="00A44EB7" w:rsidRPr="00A44EB7" w:rsidP="00A44EB7">
                      <w:pPr>
                        <w:pStyle w:val="Bullet"/>
                      </w:pPr>
                      <w:r w:rsidRPr="00A44EB7">
                        <w:t xml:space="preserve">OSHA penalty adjustment </w:t>
                      </w:r>
                      <w:hyperlink r:id="rId9" w:history="1">
                        <w:r w:rsidRPr="00A44EB7">
                          <w:rPr>
                            <w:rStyle w:val="Hyperlink"/>
                          </w:rPr>
                          <w:t>ru</w:t>
                        </w:r>
                        <w:r w:rsidRPr="00A44EB7">
                          <w:rPr>
                            <w:rStyle w:val="Hyperlink"/>
                          </w:rPr>
                          <w:t>l</w:t>
                        </w:r>
                        <w:r w:rsidRPr="00A44EB7">
                          <w:rPr>
                            <w:rStyle w:val="Hyperlink"/>
                          </w:rPr>
                          <w:t>e</w:t>
                        </w:r>
                      </w:hyperlink>
                      <w:r w:rsidRPr="00A44EB7">
                        <w:t xml:space="preserve"> </w:t>
                      </w:r>
                    </w:p>
                    <w:p w:rsidR="008C01A9" w:rsidRPr="007201D3" w:rsidP="00A44EB7">
                      <w:pPr>
                        <w:pStyle w:val="BulletList"/>
                        <w:jc w:val="left"/>
                      </w:pPr>
                    </w:p>
                  </w:txbxContent>
                </v:textbox>
                <w10:wrap type="topAndBottom"/>
              </v:shape>
            </w:pict>
          </mc:Fallback>
        </mc:AlternateContent>
      </w:r>
      <w:r>
        <w:t>An employer that receives a citation must post a copy of it at or near the place where the violation occurred. The notice must remain on display for three days or until the violation is corrected, whichever is longer. Penalties may be adjusted depending on the gravity of the violation and the employer’s size, history of previous violations and ability to show a good faith effort to comply with OSHA requirements.</w:t>
      </w:r>
    </w:p>
    <w:p w:rsidR="00A44EB7" w:rsidRPr="00A44EB7" w:rsidP="00A44EB7">
      <w:pPr>
        <w:pStyle w:val="SubHeader"/>
      </w:pPr>
      <w:r w:rsidRPr="00A44EB7">
        <w:t xml:space="preserve">Annual Adjustments </w:t>
      </w:r>
    </w:p>
    <w:p w:rsidR="00A44EB7" w:rsidRPr="00A44EB7" w:rsidP="00A44EB7">
      <w:pPr>
        <w:pStyle w:val="BodyText"/>
      </w:pPr>
      <w:r w:rsidRPr="00A44EB7">
        <w:t>Current laws allow OSHA to adjust the maximum penalty amounts every year to account for the cost of inflation, as shown by the consumer price index (CPI). If OSHA plans to adjust penalty amounts, it must signal its intention by Jan. 15 of each yea</w:t>
      </w:r>
      <w:r w:rsidR="00F3467A">
        <w:t>r</w:t>
      </w:r>
      <w:r w:rsidRPr="00A44EB7">
        <w:t xml:space="preserve">. </w:t>
      </w:r>
    </w:p>
    <w:p w:rsidR="00A44EB7" w:rsidP="00A44EB7">
      <w:pPr>
        <w:pStyle w:val="BodyText"/>
      </w:pPr>
    </w:p>
    <w:p w:rsidR="00A44EB7" w:rsidP="00A44EB7">
      <w:pPr>
        <w:pStyle w:val="BodyText"/>
      </w:pPr>
    </w:p>
    <w:p w:rsidR="00A44EB7" w:rsidRPr="00A44EB7" w:rsidP="00A44EB7">
      <w:pPr>
        <w:pStyle w:val="BodyText"/>
        <w:sectPr w:rsidSect="008A7E71">
          <w:headerReference w:type="default" r:id="rId10"/>
          <w:footerReference w:type="default" r:id="rId11"/>
          <w:pgSz w:w="12240" w:h="15840"/>
          <w:pgMar w:top="3946" w:right="4680" w:bottom="1440" w:left="720" w:header="720" w:footer="720" w:gutter="0"/>
          <w:cols w:space="720"/>
          <w:docGrid w:linePitch="360"/>
        </w:sectPr>
      </w:pPr>
    </w:p>
    <w:p w:rsidR="00A44EB7" w:rsidP="00A44EB7">
      <w:pPr>
        <w:pStyle w:val="SubHeader"/>
      </w:pPr>
      <w:r>
        <w:t>Current Penalties</w:t>
      </w:r>
    </w:p>
    <w:p w:rsidR="00A44EB7" w:rsidRPr="00E74416" w:rsidP="00A44EB7">
      <w:pPr>
        <w:pStyle w:val="BodyText"/>
      </w:pPr>
      <w:r w:rsidRPr="00E74416">
        <w:t>Below is a list of potential citations employers may receive and a range of corresponding penalties for these citations.</w:t>
      </w:r>
    </w:p>
    <w:tbl>
      <w:tblPr>
        <w:tblStyle w:val="TableGrid"/>
        <w:tblW w:w="10620" w:type="dxa"/>
        <w:jc w:val="center"/>
        <w:tblLook w:val="04A0"/>
      </w:tblPr>
      <w:tblGrid>
        <w:gridCol w:w="7254"/>
        <w:gridCol w:w="3366"/>
      </w:tblGrid>
      <w:tr w:rsidTr="00D10E92">
        <w:tblPrEx>
          <w:tblW w:w="10620" w:type="dxa"/>
          <w:jc w:val="center"/>
          <w:tblLook w:val="04A0"/>
        </w:tblPrEx>
        <w:trPr>
          <w:trHeight w:val="20"/>
          <w:jc w:val="center"/>
        </w:trPr>
        <w:tc>
          <w:tcPr>
            <w:tcW w:w="7254" w:type="dxa"/>
            <w:shd w:val="clear" w:color="auto" w:fill="39945E"/>
            <w:vAlign w:val="center"/>
          </w:tcPr>
          <w:p w:rsidR="00A44EB7" w:rsidRPr="00F6678C" w:rsidP="00D10E92">
            <w:pPr>
              <w:pStyle w:val="TableHeader"/>
              <w:spacing w:before="60" w:after="60" w:line="240" w:lineRule="auto"/>
            </w:pPr>
            <w:r w:rsidRPr="00F6678C">
              <w:t>VIOLATION</w:t>
            </w:r>
          </w:p>
        </w:tc>
        <w:tc>
          <w:tcPr>
            <w:tcW w:w="3366" w:type="dxa"/>
            <w:shd w:val="clear" w:color="auto" w:fill="39945E"/>
            <w:vAlign w:val="center"/>
          </w:tcPr>
          <w:p w:rsidR="00A44EB7" w:rsidRPr="00F6678C" w:rsidP="00D10E92">
            <w:pPr>
              <w:pStyle w:val="TableHeader"/>
              <w:spacing w:before="60" w:after="60" w:line="240" w:lineRule="auto"/>
            </w:pPr>
            <w:r w:rsidRPr="00F6678C">
              <w:t>CURRENT PENALTY</w:t>
            </w:r>
          </w:p>
        </w:tc>
      </w:tr>
      <w:tr w:rsidTr="00D10E92">
        <w:tblPrEx>
          <w:tblW w:w="10620" w:type="dxa"/>
          <w:jc w:val="center"/>
          <w:tblLook w:val="04A0"/>
        </w:tblPrEx>
        <w:trPr>
          <w:trHeight w:val="20"/>
          <w:jc w:val="center"/>
        </w:trPr>
        <w:tc>
          <w:tcPr>
            <w:tcW w:w="7254" w:type="dxa"/>
            <w:shd w:val="clear" w:color="auto" w:fill="BDE5CD"/>
            <w:vAlign w:val="center"/>
          </w:tcPr>
          <w:p w:rsidR="00A44EB7" w:rsidRPr="00D10E92" w:rsidP="00D10E92">
            <w:pPr>
              <w:pStyle w:val="BodyText"/>
              <w:jc w:val="left"/>
              <w:rPr>
                <w:b/>
              </w:rPr>
            </w:pPr>
            <w:r w:rsidRPr="00D10E92">
              <w:rPr>
                <w:b/>
                <w:i/>
              </w:rPr>
              <w:t>De minimis</w:t>
            </w:r>
            <w:r w:rsidRPr="00D10E92">
              <w:rPr>
                <w:b/>
              </w:rPr>
              <w:t xml:space="preserve"> violation</w:t>
            </w:r>
          </w:p>
        </w:tc>
        <w:tc>
          <w:tcPr>
            <w:tcW w:w="3366" w:type="dxa"/>
            <w:shd w:val="clear" w:color="auto" w:fill="BDE5CD"/>
            <w:vAlign w:val="center"/>
          </w:tcPr>
          <w:p w:rsidR="00A44EB7" w:rsidRPr="00D10E92" w:rsidP="00D10E92">
            <w:pPr>
              <w:pStyle w:val="BodyText"/>
              <w:jc w:val="left"/>
            </w:pPr>
            <w:r w:rsidRPr="00D10E92">
              <w:t>Warning</w:t>
            </w:r>
          </w:p>
        </w:tc>
      </w:tr>
      <w:tr w:rsidTr="00D10E92">
        <w:tblPrEx>
          <w:tblW w:w="10620" w:type="dxa"/>
          <w:jc w:val="center"/>
          <w:tblLook w:val="04A0"/>
        </w:tblPrEx>
        <w:trPr>
          <w:trHeight w:val="20"/>
          <w:jc w:val="center"/>
        </w:trPr>
        <w:tc>
          <w:tcPr>
            <w:tcW w:w="7254" w:type="dxa"/>
            <w:shd w:val="clear" w:color="auto" w:fill="D8F0E2"/>
            <w:vAlign w:val="center"/>
          </w:tcPr>
          <w:p w:rsidR="00A44EB7" w:rsidRPr="00D10E92" w:rsidP="00D10E92">
            <w:pPr>
              <w:pStyle w:val="BodyText"/>
              <w:jc w:val="left"/>
              <w:rPr>
                <w:b/>
              </w:rPr>
            </w:pPr>
            <w:r w:rsidRPr="00D10E92">
              <w:rPr>
                <w:b/>
              </w:rPr>
              <w:t xml:space="preserve">Other-than-serious violation </w:t>
            </w:r>
          </w:p>
        </w:tc>
        <w:tc>
          <w:tcPr>
            <w:tcW w:w="3366" w:type="dxa"/>
            <w:shd w:val="clear" w:color="auto" w:fill="D8F0E2"/>
            <w:vAlign w:val="center"/>
          </w:tcPr>
          <w:p w:rsidR="00A44EB7" w:rsidRPr="00D10E92" w:rsidP="00D10E92">
            <w:pPr>
              <w:pStyle w:val="BodyText"/>
              <w:jc w:val="left"/>
            </w:pPr>
            <w:r w:rsidRPr="00D10E92">
              <w:t>Up to $</w:t>
            </w:r>
            <w:r w:rsidR="008F6E0D">
              <w:t>14,502</w:t>
            </w:r>
            <w:r w:rsidRPr="00D10E92">
              <w:t xml:space="preserve"> per violation</w:t>
            </w:r>
          </w:p>
        </w:tc>
      </w:tr>
      <w:tr w:rsidTr="00D10E92">
        <w:tblPrEx>
          <w:tblW w:w="10620" w:type="dxa"/>
          <w:jc w:val="center"/>
          <w:tblLook w:val="04A0"/>
        </w:tblPrEx>
        <w:trPr>
          <w:trHeight w:val="20"/>
          <w:jc w:val="center"/>
        </w:trPr>
        <w:tc>
          <w:tcPr>
            <w:tcW w:w="7254" w:type="dxa"/>
            <w:shd w:val="clear" w:color="auto" w:fill="BDE5CD"/>
            <w:vAlign w:val="center"/>
          </w:tcPr>
          <w:p w:rsidR="00A44EB7" w:rsidRPr="00D10E92" w:rsidP="00D10E92">
            <w:pPr>
              <w:pStyle w:val="BodyText"/>
              <w:jc w:val="left"/>
              <w:rPr>
                <w:b/>
              </w:rPr>
            </w:pPr>
            <w:r w:rsidRPr="00D10E92">
              <w:rPr>
                <w:b/>
              </w:rPr>
              <w:t>Serious violation</w:t>
            </w:r>
          </w:p>
          <w:p w:rsidR="00A44EB7" w:rsidRPr="00D10E92" w:rsidP="00D10E92">
            <w:pPr>
              <w:pStyle w:val="BodyText"/>
              <w:jc w:val="left"/>
            </w:pPr>
            <w:r w:rsidRPr="00D10E92">
              <w:t>A violation where there is a substantial probability that death or serious physical harm could result from an employer’s practice, method, operation or process. An employer is excused if it could not reasonably know of the presence of the violation.</w:t>
            </w:r>
          </w:p>
        </w:tc>
        <w:tc>
          <w:tcPr>
            <w:tcW w:w="3366" w:type="dxa"/>
            <w:shd w:val="clear" w:color="auto" w:fill="BDE5CD"/>
            <w:vAlign w:val="center"/>
          </w:tcPr>
          <w:p w:rsidR="00A44EB7" w:rsidRPr="00D10E92" w:rsidP="00D10E92">
            <w:pPr>
              <w:pStyle w:val="BodyText"/>
              <w:jc w:val="left"/>
            </w:pPr>
            <w:r>
              <w:t>Up to</w:t>
            </w:r>
            <w:r w:rsidR="009E035F">
              <w:t xml:space="preserve"> </w:t>
            </w:r>
            <w:r w:rsidRPr="00D10E92">
              <w:t>$1</w:t>
            </w:r>
            <w:r>
              <w:t>4,502</w:t>
            </w:r>
            <w:r w:rsidRPr="00D10E92">
              <w:t xml:space="preserve"> per violation</w:t>
            </w:r>
          </w:p>
        </w:tc>
      </w:tr>
      <w:tr w:rsidTr="00D10E92">
        <w:tblPrEx>
          <w:tblW w:w="10620" w:type="dxa"/>
          <w:jc w:val="center"/>
          <w:tblLook w:val="04A0"/>
        </w:tblPrEx>
        <w:trPr>
          <w:trHeight w:val="20"/>
          <w:jc w:val="center"/>
        </w:trPr>
        <w:tc>
          <w:tcPr>
            <w:tcW w:w="7254" w:type="dxa"/>
            <w:shd w:val="clear" w:color="auto" w:fill="D8F0E2"/>
            <w:vAlign w:val="center"/>
          </w:tcPr>
          <w:p w:rsidR="00A44EB7" w:rsidRPr="00D10E92" w:rsidP="00D10E92">
            <w:pPr>
              <w:pStyle w:val="BodyText"/>
              <w:jc w:val="left"/>
              <w:rPr>
                <w:b/>
              </w:rPr>
            </w:pPr>
            <w:r w:rsidRPr="00D10E92">
              <w:rPr>
                <w:b/>
              </w:rPr>
              <w:t xml:space="preserve">Willful </w:t>
            </w:r>
            <w:r w:rsidR="0010595F">
              <w:rPr>
                <w:b/>
              </w:rPr>
              <w:t>violation</w:t>
            </w:r>
          </w:p>
          <w:p w:rsidR="00A44EB7" w:rsidRPr="00D10E92" w:rsidP="00D10E92">
            <w:pPr>
              <w:pStyle w:val="BodyText"/>
              <w:jc w:val="left"/>
            </w:pPr>
            <w:r w:rsidRPr="00D10E92">
              <w:t>A violation is willful when committed intentionally and knowingly. The employer must be aware that a hazardous condition exists, know that the condition violates an OSHA standard or other obligation, and make no reasonable effort to eliminate it.</w:t>
            </w:r>
          </w:p>
        </w:tc>
        <w:tc>
          <w:tcPr>
            <w:tcW w:w="3366" w:type="dxa"/>
            <w:shd w:val="clear" w:color="auto" w:fill="D8F0E2"/>
            <w:vAlign w:val="center"/>
          </w:tcPr>
          <w:p w:rsidR="00A44EB7" w:rsidRPr="00D10E92" w:rsidP="00D10E92">
            <w:pPr>
              <w:pStyle w:val="BodyText"/>
              <w:jc w:val="left"/>
            </w:pPr>
            <w:r w:rsidRPr="00D10E92">
              <w:t>Between $</w:t>
            </w:r>
            <w:r w:rsidR="008F6E0D">
              <w:t>10,360</w:t>
            </w:r>
            <w:r w:rsidRPr="00D10E92">
              <w:t xml:space="preserve"> and $</w:t>
            </w:r>
            <w:r w:rsidR="009E035F">
              <w:t>1</w:t>
            </w:r>
            <w:r w:rsidR="008F6E0D">
              <w:t>45,027</w:t>
            </w:r>
            <w:r w:rsidRPr="00D10E92">
              <w:t xml:space="preserve"> per violation </w:t>
            </w:r>
          </w:p>
        </w:tc>
      </w:tr>
      <w:tr w:rsidTr="00D10E92">
        <w:tblPrEx>
          <w:tblW w:w="10620" w:type="dxa"/>
          <w:jc w:val="center"/>
          <w:tblLook w:val="04A0"/>
        </w:tblPrEx>
        <w:trPr>
          <w:trHeight w:val="20"/>
          <w:jc w:val="center"/>
        </w:trPr>
        <w:tc>
          <w:tcPr>
            <w:tcW w:w="7254" w:type="dxa"/>
            <w:shd w:val="clear" w:color="auto" w:fill="BDE5CD"/>
            <w:vAlign w:val="center"/>
          </w:tcPr>
          <w:p w:rsidR="00A44EB7" w:rsidRPr="00D10E92" w:rsidP="00D10E92">
            <w:pPr>
              <w:pStyle w:val="BodyText"/>
              <w:jc w:val="left"/>
              <w:rPr>
                <w:b/>
              </w:rPr>
            </w:pPr>
            <w:r w:rsidRPr="00D10E92">
              <w:rPr>
                <w:b/>
              </w:rPr>
              <w:t>Repeated violation</w:t>
            </w:r>
          </w:p>
          <w:p w:rsidR="00A44EB7" w:rsidRPr="00D10E92" w:rsidP="00D10E92">
            <w:pPr>
              <w:pStyle w:val="BodyText"/>
              <w:jc w:val="left"/>
            </w:pPr>
            <w:r w:rsidRPr="00D10E92">
              <w:t>A violation is repeated when it is substantially similar to a violation that was already present in a previous citation.</w:t>
            </w:r>
          </w:p>
        </w:tc>
        <w:tc>
          <w:tcPr>
            <w:tcW w:w="3366" w:type="dxa"/>
            <w:shd w:val="clear" w:color="auto" w:fill="BDE5CD"/>
            <w:vAlign w:val="center"/>
          </w:tcPr>
          <w:p w:rsidR="00A44EB7" w:rsidRPr="00D10E92" w:rsidP="00D10E92">
            <w:pPr>
              <w:pStyle w:val="BodyText"/>
              <w:jc w:val="left"/>
            </w:pPr>
            <w:r w:rsidRPr="00D10E92">
              <w:t>Up to $</w:t>
            </w:r>
            <w:r w:rsidR="008F6E0D">
              <w:t>145,0</w:t>
            </w:r>
            <w:r w:rsidR="0010595F">
              <w:t>2</w:t>
            </w:r>
            <w:r w:rsidR="008F6E0D">
              <w:t>7</w:t>
            </w:r>
            <w:r w:rsidRPr="00D10E92">
              <w:t xml:space="preserve"> per violation</w:t>
            </w:r>
          </w:p>
        </w:tc>
      </w:tr>
      <w:tr w:rsidTr="00D10E92">
        <w:tblPrEx>
          <w:tblW w:w="10620" w:type="dxa"/>
          <w:jc w:val="center"/>
          <w:tblLook w:val="04A0"/>
        </w:tblPrEx>
        <w:trPr>
          <w:trHeight w:val="20"/>
          <w:jc w:val="center"/>
        </w:trPr>
        <w:tc>
          <w:tcPr>
            <w:tcW w:w="7254" w:type="dxa"/>
            <w:shd w:val="clear" w:color="auto" w:fill="D8F0E2"/>
            <w:vAlign w:val="center"/>
          </w:tcPr>
          <w:p w:rsidR="00A44EB7" w:rsidRPr="00D10E92" w:rsidP="00D10E92">
            <w:pPr>
              <w:pStyle w:val="BodyText"/>
              <w:jc w:val="left"/>
              <w:rPr>
                <w:b/>
              </w:rPr>
            </w:pPr>
            <w:r w:rsidRPr="00D10E92">
              <w:rPr>
                <w:b/>
              </w:rPr>
              <w:t>Willful violation resulting in death of employee</w:t>
            </w:r>
          </w:p>
        </w:tc>
        <w:tc>
          <w:tcPr>
            <w:tcW w:w="3366" w:type="dxa"/>
            <w:shd w:val="clear" w:color="auto" w:fill="D8F0E2"/>
            <w:vAlign w:val="center"/>
          </w:tcPr>
          <w:p w:rsidR="00A44EB7" w:rsidRPr="00D10E92" w:rsidP="00D10E92">
            <w:pPr>
              <w:pStyle w:val="BodyText"/>
              <w:jc w:val="left"/>
            </w:pPr>
            <w:r w:rsidRPr="00D10E92">
              <w:t>Up to $10,000 and/or imprisonment for up to six months.</w:t>
            </w:r>
          </w:p>
          <w:p w:rsidR="00A44EB7" w:rsidRPr="00D10E92" w:rsidP="00D10E92">
            <w:pPr>
              <w:pStyle w:val="BodyText"/>
              <w:jc w:val="left"/>
            </w:pPr>
            <w:r w:rsidRPr="00D10E92">
              <w:t>Penalties may double for a second or higher conviction.</w:t>
            </w:r>
          </w:p>
        </w:tc>
      </w:tr>
      <w:tr w:rsidTr="00D10E92">
        <w:tblPrEx>
          <w:tblW w:w="10620" w:type="dxa"/>
          <w:jc w:val="center"/>
          <w:tblLook w:val="04A0"/>
        </w:tblPrEx>
        <w:trPr>
          <w:trHeight w:val="20"/>
          <w:jc w:val="center"/>
        </w:trPr>
        <w:tc>
          <w:tcPr>
            <w:tcW w:w="7254" w:type="dxa"/>
            <w:shd w:val="clear" w:color="auto" w:fill="BDE5CD"/>
            <w:vAlign w:val="center"/>
          </w:tcPr>
          <w:p w:rsidR="00A44EB7" w:rsidRPr="00D10E92" w:rsidP="00D10E92">
            <w:pPr>
              <w:pStyle w:val="BodyText"/>
              <w:jc w:val="left"/>
              <w:rPr>
                <w:b/>
              </w:rPr>
            </w:pPr>
            <w:r w:rsidRPr="00D10E92">
              <w:rPr>
                <w:b/>
              </w:rPr>
              <w:t>Unabated</w:t>
            </w:r>
            <w:r w:rsidRPr="00D10E92">
              <w:rPr>
                <w:b/>
              </w:rPr>
              <w:t xml:space="preserve"> violation</w:t>
            </w:r>
          </w:p>
        </w:tc>
        <w:tc>
          <w:tcPr>
            <w:tcW w:w="3366" w:type="dxa"/>
            <w:shd w:val="clear" w:color="auto" w:fill="BDE5CD"/>
            <w:vAlign w:val="center"/>
          </w:tcPr>
          <w:p w:rsidR="00A44EB7" w:rsidRPr="00D10E92" w:rsidP="00D10E92">
            <w:pPr>
              <w:pStyle w:val="BodyText"/>
              <w:jc w:val="left"/>
            </w:pPr>
            <w:r w:rsidRPr="00D10E92">
              <w:t>Up to $1</w:t>
            </w:r>
            <w:r w:rsidR="008F6E0D">
              <w:t>4</w:t>
            </w:r>
            <w:r w:rsidR="00FA4DA7">
              <w:t>,502</w:t>
            </w:r>
            <w:r w:rsidRPr="00D10E92">
              <w:t xml:space="preserve"> per day until the violation is corrected</w:t>
            </w:r>
          </w:p>
        </w:tc>
      </w:tr>
      <w:tr w:rsidTr="00D10E92">
        <w:tblPrEx>
          <w:tblW w:w="10620" w:type="dxa"/>
          <w:jc w:val="center"/>
          <w:tblLook w:val="04A0"/>
        </w:tblPrEx>
        <w:trPr>
          <w:trHeight w:val="20"/>
          <w:jc w:val="center"/>
        </w:trPr>
        <w:tc>
          <w:tcPr>
            <w:tcW w:w="7254" w:type="dxa"/>
            <w:shd w:val="clear" w:color="auto" w:fill="D8F0E2"/>
            <w:vAlign w:val="center"/>
          </w:tcPr>
          <w:p w:rsidR="00A44EB7" w:rsidRPr="00D10E92" w:rsidP="00D10E92">
            <w:pPr>
              <w:pStyle w:val="BodyText"/>
              <w:jc w:val="left"/>
              <w:rPr>
                <w:b/>
              </w:rPr>
            </w:pPr>
            <w:r w:rsidRPr="00D10E92">
              <w:rPr>
                <w:b/>
              </w:rPr>
              <w:t>Making false statements, representations or certifications</w:t>
            </w:r>
          </w:p>
        </w:tc>
        <w:tc>
          <w:tcPr>
            <w:tcW w:w="3366" w:type="dxa"/>
            <w:shd w:val="clear" w:color="auto" w:fill="D8F0E2"/>
            <w:vAlign w:val="center"/>
          </w:tcPr>
          <w:p w:rsidR="00A44EB7" w:rsidRPr="00D10E92" w:rsidP="00D10E92">
            <w:pPr>
              <w:pStyle w:val="BodyText"/>
              <w:jc w:val="left"/>
            </w:pPr>
            <w:r w:rsidRPr="00D10E92">
              <w:t>Up to $10,000 and/or imprisonment for up to six months</w:t>
            </w:r>
          </w:p>
        </w:tc>
        <w:bookmarkStart w:id="0" w:name="_GoBack"/>
        <w:bookmarkEnd w:id="0"/>
      </w:tr>
      <w:tr w:rsidTr="00D10E92">
        <w:tblPrEx>
          <w:tblW w:w="10620" w:type="dxa"/>
          <w:jc w:val="center"/>
          <w:tblLook w:val="04A0"/>
        </w:tblPrEx>
        <w:trPr>
          <w:trHeight w:val="20"/>
          <w:jc w:val="center"/>
        </w:trPr>
        <w:tc>
          <w:tcPr>
            <w:tcW w:w="7254" w:type="dxa"/>
            <w:shd w:val="clear" w:color="auto" w:fill="BDE5CD"/>
            <w:vAlign w:val="center"/>
          </w:tcPr>
          <w:p w:rsidR="00A44EB7" w:rsidRPr="00D10E92" w:rsidP="00D10E92">
            <w:pPr>
              <w:pStyle w:val="BodyText"/>
              <w:jc w:val="left"/>
              <w:rPr>
                <w:b/>
              </w:rPr>
            </w:pPr>
            <w:r w:rsidRPr="00D10E92">
              <w:rPr>
                <w:b/>
              </w:rPr>
              <w:t>Violation of posting requirements</w:t>
            </w:r>
          </w:p>
        </w:tc>
        <w:tc>
          <w:tcPr>
            <w:tcW w:w="3366" w:type="dxa"/>
            <w:shd w:val="clear" w:color="auto" w:fill="BDE5CD"/>
            <w:vAlign w:val="center"/>
          </w:tcPr>
          <w:p w:rsidR="00A44EB7" w:rsidRPr="00D10E92" w:rsidP="00D10E92">
            <w:pPr>
              <w:pStyle w:val="BodyText"/>
              <w:jc w:val="left"/>
            </w:pPr>
            <w:r w:rsidRPr="00D10E92">
              <w:t>Up to $1</w:t>
            </w:r>
            <w:r w:rsidR="00FA4DA7">
              <w:t>4,502</w:t>
            </w:r>
            <w:r w:rsidRPr="00D10E92">
              <w:t xml:space="preserve"> per violation</w:t>
            </w:r>
          </w:p>
        </w:tc>
      </w:tr>
      <w:tr w:rsidTr="00D10E92">
        <w:tblPrEx>
          <w:tblW w:w="10620" w:type="dxa"/>
          <w:jc w:val="center"/>
          <w:tblLook w:val="04A0"/>
        </w:tblPrEx>
        <w:trPr>
          <w:trHeight w:val="20"/>
          <w:jc w:val="center"/>
        </w:trPr>
        <w:tc>
          <w:tcPr>
            <w:tcW w:w="7254" w:type="dxa"/>
            <w:shd w:val="clear" w:color="auto" w:fill="D8F0E2"/>
            <w:vAlign w:val="center"/>
          </w:tcPr>
          <w:p w:rsidR="00A44EB7" w:rsidRPr="00D10E92" w:rsidP="00D10E92">
            <w:pPr>
              <w:pStyle w:val="BodyText"/>
              <w:jc w:val="left"/>
              <w:rPr>
                <w:b/>
              </w:rPr>
            </w:pPr>
            <w:r w:rsidRPr="00D10E92">
              <w:rPr>
                <w:b/>
              </w:rPr>
              <w:t>Providing unauthorized advance notice of inspection</w:t>
            </w:r>
          </w:p>
        </w:tc>
        <w:tc>
          <w:tcPr>
            <w:tcW w:w="3366" w:type="dxa"/>
            <w:shd w:val="clear" w:color="auto" w:fill="D8F0E2"/>
            <w:vAlign w:val="center"/>
          </w:tcPr>
          <w:p w:rsidR="00A44EB7" w:rsidRPr="00D10E92" w:rsidP="00D10E92">
            <w:pPr>
              <w:pStyle w:val="BodyText"/>
              <w:jc w:val="left"/>
            </w:pPr>
            <w:r w:rsidRPr="00D10E92">
              <w:t>Up to $1,000, imprisonment for up to six months or both</w:t>
            </w:r>
          </w:p>
        </w:tc>
      </w:tr>
    </w:tbl>
    <w:p w:rsidR="00C84C66" w:rsidRPr="004967FA" w:rsidP="004967FA">
      <w:pPr>
        <w:pStyle w:val="BodyText"/>
      </w:pPr>
    </w:p>
    <w:sectPr w:rsidSect="00C84C66">
      <w:headerReference w:type="default" r:id="rId12"/>
      <w:footerReference w:type="default" r:id="rId13"/>
      <w:pgSz w:w="12240" w:h="15840"/>
      <w:pgMar w:top="1800" w:right="720" w:bottom="18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5975536</wp:posOffset>
              </wp:positionV>
              <wp:extent cx="6849035" cy="8965"/>
              <wp:effectExtent l="19050" t="19050" r="9525" b="2921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849035" cy="8965"/>
                      </a:xfrm>
                      <a:prstGeom prst="line">
                        <a:avLst/>
                      </a:prstGeom>
                      <a:ln w="44450">
                        <a:solidFill>
                          <a:srgbClr val="39945E">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0288" from="0,470.5pt" to="539.3pt,471.2pt" strokecolor="#39945e" strokeweight="3.5pt">
              <v:stroke joinstyle="miter" opacity="49087f"/>
              <w10:wrap anchorx="margin" anchory="margin"/>
            </v:line>
          </w:pict>
        </mc:Fallback>
      </mc:AlternateContent>
    </w:r>
    <w:r>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1492575</wp:posOffset>
          </wp:positionV>
          <wp:extent cx="7772400" cy="63093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gal_fol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999777"/>
      <w:docPartObj>
        <w:docPartGallery w:val="Page Numbers (Bottom of Page)"/>
        <w:docPartUnique/>
      </w:docPartObj>
    </w:sdtPr>
    <w:sdtEndPr>
      <w:rPr>
        <w:noProof/>
      </w:rPr>
    </w:sdtEndPr>
    <w:sdtContent>
      <w:p w:rsidR="00A95A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611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ge">
            <wp:posOffset>-20955</wp:posOffset>
          </wp:positionV>
          <wp:extent cx="7772399" cy="3851929"/>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399" cy="38519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7CD">
    <w:pPr>
      <w:pStyle w:val="Header"/>
    </w:pPr>
    <w:r>
      <w:rPr>
        <w:noProof/>
      </w:rPr>
      <w:drawing>
        <wp:anchor distT="0" distB="0" distL="114300" distR="114300" simplePos="0" relativeHeight="251659264" behindDoc="1" locked="0" layoutInCell="1" allowOverlap="1">
          <wp:simplePos x="0" y="0"/>
          <wp:positionH relativeFrom="page">
            <wp:align>left</wp:align>
          </wp:positionH>
          <wp:positionV relativeFrom="paragraph">
            <wp:posOffset>-457200</wp:posOffset>
          </wp:positionV>
          <wp:extent cx="7755255" cy="16363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10728" cy="1648100"/>
                  </a:xfrm>
                  <a:prstGeom prst="rect">
                    <a:avLst/>
                  </a:prstGeom>
                </pic:spPr>
              </pic:pic>
            </a:graphicData>
          </a:graphic>
          <wp14:sizeRelH relativeFrom="page">
            <wp14:pctWidth>0</wp14:pctWidth>
          </wp14:sizeRelH>
          <wp14:sizeRelV relativeFrom="page">
            <wp14:pctHeight>0</wp14:pctHeight>
          </wp14:sizeRelV>
        </wp:anchor>
      </w:drawing>
    </w:r>
    <w:r w:rsidR="00A95ADA">
      <w:rPr>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margin">
                <wp:posOffset>7751618</wp:posOffset>
              </wp:positionV>
              <wp:extent cx="6848475" cy="8890"/>
              <wp:effectExtent l="19050" t="19050" r="9525" b="2921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848475" cy="8890"/>
                      </a:xfrm>
                      <a:prstGeom prst="line">
                        <a:avLst/>
                      </a:prstGeom>
                      <a:ln w="44450">
                        <a:solidFill>
                          <a:srgbClr val="39945E">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2050"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3360" from="0,610.35pt" to="539.25pt,611.05pt" strokecolor="#39945e" strokeweight="3.5pt">
              <v:stroke joinstyle="miter" opacity="49087f"/>
              <w10:wrap anchorx="margin" anchory="margin"/>
            </v:line>
          </w:pict>
        </mc:Fallback>
      </mc:AlternateContent>
    </w:r>
    <w:r w:rsidR="00A95ADA">
      <w:rPr>
        <w:noProof/>
      </w:rPr>
      <mc:AlternateContent>
        <mc:Choice Requires="wps">
          <w:drawing>
            <wp:anchor distT="0" distB="0" distL="114300" distR="114300" simplePos="0" relativeHeight="251660288" behindDoc="0" locked="0" layoutInCell="1" allowOverlap="1">
              <wp:simplePos x="0" y="0"/>
              <wp:positionH relativeFrom="margin">
                <wp:posOffset>-55418</wp:posOffset>
              </wp:positionH>
              <wp:positionV relativeFrom="paragraph">
                <wp:posOffset>8679873</wp:posOffset>
              </wp:positionV>
              <wp:extent cx="5984875" cy="55626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4875" cy="556260"/>
                      </a:xfrm>
                      <a:prstGeom prst="rect">
                        <a:avLst/>
                      </a:prstGeom>
                      <a:noFill/>
                      <a:ln w="6350">
                        <a:noFill/>
                      </a:ln>
                      <a:effectLst/>
                    </wps:spPr>
                    <wps:txbx>
                      <w:txbxContent>
                        <w:p w:rsidR="00EC1229" w:rsidRPr="00817EEE" w:rsidP="00EC1229">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D10E92">
                            <w:t>202</w:t>
                          </w:r>
                          <w:r w:rsidR="00FA4DA7">
                            <w:t>2</w:t>
                          </w:r>
                          <w:r>
                            <w:t xml:space="preserve"> </w:t>
                          </w:r>
                          <w:r w:rsidRPr="00817EEE">
                            <w:t>Zywave, Inc.</w:t>
                          </w:r>
                          <w:r>
                            <w:t xml:space="preserve"> </w:t>
                          </w:r>
                          <w:r w:rsidRPr="00817EEE">
                            <w:t>All rights reserved.</w:t>
                          </w:r>
                        </w:p>
                        <w:p w:rsidR="00EC1229" w:rsidRPr="00947E11" w:rsidP="00EC1229">
                          <w:pPr>
                            <w:pStyle w:val="Disclaimer"/>
                            <w:rPr>
                              <w:szCs w:val="16"/>
                            </w:rPr>
                          </w:pPr>
                        </w:p>
                        <w:p w:rsidR="00E6115F" w:rsidRPr="00947E11" w:rsidP="008F7B15">
                          <w:pPr>
                            <w:pStyle w:val="Disclaime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1" type="#_x0000_t202" style="width:471.25pt;height:43.8pt;margin-top:683.45pt;margin-left:-4.35pt;mso-height-percent:0;mso-height-relative:margin;mso-position-horizontal-relative:margin;mso-width-percent:0;mso-width-relative:margin;mso-wrap-distance-bottom:0;mso-wrap-distance-left:9pt;mso-wrap-distance-right:9pt;mso-wrap-distance-top:0;mso-wrap-style:square;position:absolute;v-text-anchor:top;visibility:visible;z-index:251661312" filled="f" stroked="f" strokeweight="0.5pt">
              <v:textbox>
                <w:txbxContent>
                  <w:p w:rsidR="00EC1229" w:rsidRPr="00817EEE" w:rsidP="00EC1229">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D10E92">
                      <w:t>202</w:t>
                    </w:r>
                    <w:r w:rsidR="00FA4DA7">
                      <w:t>2</w:t>
                    </w:r>
                    <w:r>
                      <w:t xml:space="preserve"> </w:t>
                    </w:r>
                    <w:r w:rsidRPr="00817EEE">
                      <w:t>Zywave, Inc.</w:t>
                    </w:r>
                    <w:r>
                      <w:t xml:space="preserve"> </w:t>
                    </w:r>
                    <w:r w:rsidRPr="00817EEE">
                      <w:t>All rights reserved.</w:t>
                    </w:r>
                  </w:p>
                  <w:p w:rsidR="00EC1229" w:rsidRPr="00947E11" w:rsidP="00EC1229">
                    <w:pPr>
                      <w:pStyle w:val="Disclaimer"/>
                      <w:rPr>
                        <w:szCs w:val="16"/>
                      </w:rPr>
                    </w:pPr>
                  </w:p>
                  <w:p w:rsidR="00E6115F" w:rsidRPr="00947E11" w:rsidP="008F7B15">
                    <w:pPr>
                      <w:pStyle w:val="Disclaimer"/>
                      <w:rPr>
                        <w:szCs w:val="1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BF71C7"/>
    <w:multiLevelType w:val="hybridMultilevel"/>
    <w:tmpl w:val="779881D8"/>
    <w:lvl w:ilvl="0">
      <w:start w:val="1"/>
      <w:numFmt w:val="bullet"/>
      <w:pStyle w:val="Bullet"/>
      <w:lvlText w:val=""/>
      <w:lvlJc w:val="left"/>
      <w:pPr>
        <w:ind w:left="720" w:hanging="360"/>
      </w:pPr>
      <w:rPr>
        <w:rFonts w:ascii="Symbol" w:hAnsi="Symbol" w:hint="default"/>
        <w:color w:val="39945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E95063"/>
    <w:multiLevelType w:val="hybridMultilevel"/>
    <w:tmpl w:val="B56ECBAC"/>
    <w:lvl w:ilvl="0">
      <w:start w:val="1"/>
      <w:numFmt w:val="bullet"/>
      <w:lvlText w:val=""/>
      <w:lvlJc w:val="left"/>
      <w:pPr>
        <w:ind w:left="547" w:hanging="360"/>
      </w:pPr>
      <w:rPr>
        <w:rFonts w:ascii="Symbol" w:hAnsi="Symbol" w:hint="default"/>
        <w:color w:val="39945E"/>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3B318B"/>
    <w:multiLevelType w:val="multilevel"/>
    <w:tmpl w:val="B13CDD56"/>
    <w:numStyleLink w:val="BulletedList"/>
  </w:abstractNum>
  <w:abstractNum w:abstractNumId="3">
    <w:nsid w:val="1A270686"/>
    <w:multiLevelType w:val="hybridMultilevel"/>
    <w:tmpl w:val="409AC006"/>
    <w:lvl w:ilvl="0">
      <w:start w:val="1"/>
      <w:numFmt w:val="bullet"/>
      <w:pStyle w:val="Checkbox"/>
      <w:lvlText w:val=""/>
      <w:lvlJc w:val="left"/>
      <w:pPr>
        <w:ind w:left="540" w:hanging="360"/>
      </w:pPr>
      <w:rPr>
        <w:rFonts w:ascii="Wingdings" w:hAnsi="Wingdings" w:hint="default"/>
        <w:color w:val="5083C9"/>
        <w:sz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3E32AF5"/>
    <w:multiLevelType w:val="multilevel"/>
    <w:tmpl w:val="B13CDD56"/>
    <w:styleLink w:val="BulletedList"/>
    <w:lvl w:ilvl="0">
      <w:start w:val="1"/>
      <w:numFmt w:val="bullet"/>
      <w:lvlText w:val=""/>
      <w:lvlJc w:val="left"/>
      <w:pPr>
        <w:ind w:left="360" w:hanging="360"/>
      </w:pPr>
      <w:rPr>
        <w:rFonts w:ascii="Symbol" w:hAnsi="Symbol" w:hint="default"/>
        <w:color w:val="39945E"/>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C8601A1"/>
    <w:multiLevelType w:val="hybridMultilevel"/>
    <w:tmpl w:val="43CE9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E624744"/>
    <w:multiLevelType w:val="hybridMultilevel"/>
    <w:tmpl w:val="D67CDEAC"/>
    <w:lvl w:ilvl="0">
      <w:start w:val="1"/>
      <w:numFmt w:val="bullet"/>
      <w:pStyle w:val="Xbox"/>
      <w:lvlText w:val=""/>
      <w:lvlJc w:val="left"/>
      <w:pPr>
        <w:ind w:left="540" w:hanging="360"/>
      </w:pPr>
      <w:rPr>
        <w:rFonts w:ascii="Wingdings" w:hAnsi="Wingdings" w:hint="default"/>
        <w:color w:val="BD6363"/>
        <w:sz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1D3D7D"/>
    <w:multiLevelType w:val="multilevel"/>
    <w:tmpl w:val="B13CDD56"/>
    <w:numStyleLink w:val="BulletedList"/>
  </w:abstractNum>
  <w:abstractNum w:abstractNumId="8">
    <w:nsid w:val="6F346A19"/>
    <w:multiLevelType w:val="hybridMultilevel"/>
    <w:tmpl w:val="A2763910"/>
    <w:lvl w:ilvl="0">
      <w:start w:val="1"/>
      <w:numFmt w:val="bullet"/>
      <w:pStyle w:val="H-BulletList"/>
      <w:lvlText w:val=""/>
      <w:lvlJc w:val="left"/>
      <w:pPr>
        <w:ind w:left="288" w:hanging="216"/>
      </w:pPr>
      <w:rPr>
        <w:rFonts w:ascii="Symbol" w:hAnsi="Symbol" w:hint="default"/>
        <w:sz w:val="20"/>
        <w:szCs w:val="20"/>
      </w:rPr>
    </w:lvl>
    <w:lvl w:ilvl="1">
      <w:start w:val="1"/>
      <w:numFmt w:val="bullet"/>
      <w:lvlText w:val="o"/>
      <w:lvlJc w:val="left"/>
      <w:pPr>
        <w:ind w:left="504" w:hanging="144"/>
      </w:pPr>
      <w:rPr>
        <w:rFonts w:ascii="Courier New" w:hAnsi="Courier New" w:hint="default"/>
      </w:rPr>
    </w:lvl>
    <w:lvl w:ilvl="2">
      <w:start w:val="1"/>
      <w:numFmt w:val="bullet"/>
      <w:lvlText w:val=""/>
      <w:lvlJc w:val="left"/>
      <w:pPr>
        <w:ind w:left="1008" w:hanging="288"/>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30B4ECD"/>
    <w:multiLevelType w:val="hybridMultilevel"/>
    <w:tmpl w:val="6C406044"/>
    <w:lvl w:ilvl="0">
      <w:start w:val="1"/>
      <w:numFmt w:val="bullet"/>
      <w:pStyle w:val="BulletlistHighlight"/>
      <w:lvlText w:val=""/>
      <w:lvlJc w:val="left"/>
      <w:pPr>
        <w:ind w:left="288" w:hanging="288"/>
      </w:pPr>
      <w:rPr>
        <w:rFonts w:ascii="Symbol" w:hAnsi="Symbol" w:hint="default"/>
      </w:rPr>
    </w:lvl>
    <w:lvl w:ilvl="1">
      <w:start w:val="1"/>
      <w:numFmt w:val="bullet"/>
      <w:lvlText w:val="o"/>
      <w:lvlJc w:val="left"/>
      <w:pPr>
        <w:ind w:left="576" w:hanging="216"/>
      </w:pPr>
      <w:rPr>
        <w:rFonts w:ascii="Courier New" w:hAnsi="Courier New" w:hint="default"/>
      </w:rPr>
    </w:lvl>
    <w:lvl w:ilvl="2">
      <w:start w:val="1"/>
      <w:numFmt w:val="bullet"/>
      <w:lvlText w:val=""/>
      <w:lvlJc w:val="left"/>
      <w:pPr>
        <w:ind w:left="864"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9"/>
  </w:num>
  <w:num w:numId="6">
    <w:abstractNumId w:val="4"/>
  </w:num>
  <w:num w:numId="7">
    <w:abstractNumId w:val="2"/>
  </w:num>
  <w:num w:numId="8">
    <w:abstractNumId w:val="7"/>
  </w:num>
  <w:num w:numId="9">
    <w:abstractNumId w:val="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B7"/>
    <w:rsid w:val="000847AD"/>
    <w:rsid w:val="00090473"/>
    <w:rsid w:val="000C6D44"/>
    <w:rsid w:val="000E2CED"/>
    <w:rsid w:val="0010595F"/>
    <w:rsid w:val="0012162D"/>
    <w:rsid w:val="00130C2E"/>
    <w:rsid w:val="001327E9"/>
    <w:rsid w:val="0016683E"/>
    <w:rsid w:val="00171781"/>
    <w:rsid w:val="001725D9"/>
    <w:rsid w:val="0019038E"/>
    <w:rsid w:val="001B0E00"/>
    <w:rsid w:val="001B1A7E"/>
    <w:rsid w:val="001B5774"/>
    <w:rsid w:val="00235733"/>
    <w:rsid w:val="0024208C"/>
    <w:rsid w:val="002562B5"/>
    <w:rsid w:val="0026000D"/>
    <w:rsid w:val="00282C22"/>
    <w:rsid w:val="002F02F6"/>
    <w:rsid w:val="003243B0"/>
    <w:rsid w:val="003267EB"/>
    <w:rsid w:val="0035530B"/>
    <w:rsid w:val="0037203D"/>
    <w:rsid w:val="0037553A"/>
    <w:rsid w:val="00377AA8"/>
    <w:rsid w:val="003A6B72"/>
    <w:rsid w:val="003C10A8"/>
    <w:rsid w:val="00441851"/>
    <w:rsid w:val="00484002"/>
    <w:rsid w:val="00485C3A"/>
    <w:rsid w:val="004967FA"/>
    <w:rsid w:val="004A10C9"/>
    <w:rsid w:val="004A65E6"/>
    <w:rsid w:val="004B125C"/>
    <w:rsid w:val="004F3C17"/>
    <w:rsid w:val="00526C74"/>
    <w:rsid w:val="00534014"/>
    <w:rsid w:val="00561755"/>
    <w:rsid w:val="00584B55"/>
    <w:rsid w:val="005A5BCC"/>
    <w:rsid w:val="005D05D9"/>
    <w:rsid w:val="005E5147"/>
    <w:rsid w:val="00602C43"/>
    <w:rsid w:val="00633618"/>
    <w:rsid w:val="00677DD4"/>
    <w:rsid w:val="006B60E5"/>
    <w:rsid w:val="006D0148"/>
    <w:rsid w:val="006E3B62"/>
    <w:rsid w:val="00707343"/>
    <w:rsid w:val="007201D3"/>
    <w:rsid w:val="00802FF0"/>
    <w:rsid w:val="00817EEE"/>
    <w:rsid w:val="008254B5"/>
    <w:rsid w:val="00826394"/>
    <w:rsid w:val="00844896"/>
    <w:rsid w:val="0084543D"/>
    <w:rsid w:val="00892248"/>
    <w:rsid w:val="008A7E71"/>
    <w:rsid w:val="008C01A9"/>
    <w:rsid w:val="008C3FE0"/>
    <w:rsid w:val="008C4D53"/>
    <w:rsid w:val="008C539C"/>
    <w:rsid w:val="008F6E0D"/>
    <w:rsid w:val="008F7B15"/>
    <w:rsid w:val="00926535"/>
    <w:rsid w:val="00947E11"/>
    <w:rsid w:val="0098636D"/>
    <w:rsid w:val="00993033"/>
    <w:rsid w:val="009A663E"/>
    <w:rsid w:val="009D4BB6"/>
    <w:rsid w:val="009E035F"/>
    <w:rsid w:val="009E4DC9"/>
    <w:rsid w:val="009F3CA3"/>
    <w:rsid w:val="00A337BD"/>
    <w:rsid w:val="00A357CD"/>
    <w:rsid w:val="00A44EB7"/>
    <w:rsid w:val="00A47C53"/>
    <w:rsid w:val="00A83C9F"/>
    <w:rsid w:val="00A95ADA"/>
    <w:rsid w:val="00AC71D9"/>
    <w:rsid w:val="00AD0649"/>
    <w:rsid w:val="00B27C10"/>
    <w:rsid w:val="00C73DB9"/>
    <w:rsid w:val="00C84C66"/>
    <w:rsid w:val="00C9359B"/>
    <w:rsid w:val="00CB6777"/>
    <w:rsid w:val="00CF5E21"/>
    <w:rsid w:val="00D10E92"/>
    <w:rsid w:val="00D379D5"/>
    <w:rsid w:val="00D61863"/>
    <w:rsid w:val="00D74665"/>
    <w:rsid w:val="00D76FCB"/>
    <w:rsid w:val="00D8467E"/>
    <w:rsid w:val="00D96966"/>
    <w:rsid w:val="00DC3880"/>
    <w:rsid w:val="00DE52C3"/>
    <w:rsid w:val="00E16E6C"/>
    <w:rsid w:val="00E16FF3"/>
    <w:rsid w:val="00E303E0"/>
    <w:rsid w:val="00E6115F"/>
    <w:rsid w:val="00E74416"/>
    <w:rsid w:val="00EA2BB6"/>
    <w:rsid w:val="00EC1229"/>
    <w:rsid w:val="00EC2053"/>
    <w:rsid w:val="00EE0B79"/>
    <w:rsid w:val="00EF5623"/>
    <w:rsid w:val="00EF7BE8"/>
    <w:rsid w:val="00F021E9"/>
    <w:rsid w:val="00F3467A"/>
    <w:rsid w:val="00F6678C"/>
    <w:rsid w:val="00FA4DA7"/>
    <w:rsid w:val="00FE0762"/>
    <w:rsid w:val="00FF3F30"/>
  </w:rsids>
  <w:docVars>
    <w:docVar w:name="__Grammarly_42___1" w:val="H4sIAAAAAAAEAKtWcslP9kxRslIyNDayMDMzMTM1MDY2trAwM7dQ0lEKTi0uzszPAykwrAUA3dAQ5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D9003E"/>
  <w15:chartTrackingRefBased/>
  <w15:docId w15:val="{9AA746D2-2102-491A-9C5C-622562AB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BodyText2"/>
    <w:next w:val="Normal"/>
    <w:link w:val="Heading1Char"/>
    <w:uiPriority w:val="9"/>
    <w:qFormat/>
    <w:rsid w:val="00A44EB7"/>
    <w:pPr>
      <w:spacing w:before="240" w:line="240" w:lineRule="auto"/>
      <w:outlineLvl w:val="0"/>
    </w:pPr>
    <w:rPr>
      <w:rFonts w:ascii="Calibri" w:eastAsia="Times New Roman" w:hAnsi="Calibri" w:cs="Times New Roman"/>
      <w:b/>
      <w:caps/>
      <w:color w:val="0B6787"/>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2562B5"/>
    <w:pPr>
      <w:spacing w:after="120" w:line="228" w:lineRule="auto"/>
    </w:pPr>
    <w:rPr>
      <w:b/>
      <w:color w:val="39945E"/>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2562B5"/>
    <w:rPr>
      <w:b/>
      <w:color w:val="39945E"/>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DE52C3"/>
    <w:pPr>
      <w:spacing w:after="60"/>
    </w:pPr>
  </w:style>
  <w:style w:type="paragraph" w:customStyle="1" w:styleId="Checkbox">
    <w:name w:val="Checkbox"/>
    <w:basedOn w:val="BulletList"/>
    <w:link w:val="CheckboxChar"/>
    <w:qFormat/>
    <w:rsid w:val="00E16E6C"/>
    <w:pPr>
      <w:numPr>
        <w:numId w:val="3"/>
      </w:numPr>
      <w:tabs>
        <w:tab w:val="left" w:pos="540"/>
      </w:tabs>
      <w:ind w:hanging="450"/>
    </w:pPr>
  </w:style>
  <w:style w:type="character" w:customStyle="1" w:styleId="BulletListChar">
    <w:name w:val="Bullet List Char"/>
    <w:basedOn w:val="BodyTextChar"/>
    <w:link w:val="BulletList"/>
    <w:rsid w:val="00DE52C3"/>
    <w:rPr>
      <w:rFonts w:ascii="Calibri" w:eastAsia="Times New Roman" w:hAnsi="Calibri" w:cs="Arial"/>
      <w:color w:val="595959"/>
      <w:szCs w:val="20"/>
    </w:rPr>
  </w:style>
  <w:style w:type="paragraph" w:customStyle="1" w:styleId="Xbox">
    <w:name w:val="Xbox"/>
    <w:basedOn w:val="Checkbox"/>
    <w:link w:val="XboxChar"/>
    <w:qFormat/>
    <w:rsid w:val="00E16E6C"/>
    <w:pPr>
      <w:numPr>
        <w:numId w:val="4"/>
      </w:numPr>
      <w:ind w:hanging="450"/>
    </w:pPr>
  </w:style>
  <w:style w:type="character" w:customStyle="1" w:styleId="CheckboxChar">
    <w:name w:val="Checkbox Char"/>
    <w:basedOn w:val="BulletListChar"/>
    <w:link w:val="Checkbox"/>
    <w:rsid w:val="00E16E6C"/>
    <w:rPr>
      <w:rFonts w:ascii="Calibri" w:eastAsia="Times New Roman" w:hAnsi="Calibri" w:cs="Arial"/>
      <w:color w:val="595959"/>
      <w:szCs w:val="20"/>
    </w:rPr>
  </w:style>
  <w:style w:type="paragraph" w:customStyle="1" w:styleId="CallOutBox">
    <w:name w:val="Call Out Box"/>
    <w:basedOn w:val="Footer"/>
    <w:link w:val="CallOutBoxChar"/>
    <w:qFormat/>
    <w:rsid w:val="002562B5"/>
    <w:pPr>
      <w:jc w:val="center"/>
    </w:pPr>
    <w:rPr>
      <w:b/>
      <w:i/>
      <w:color w:val="39945E"/>
      <w:sz w:val="36"/>
      <w:szCs w:val="36"/>
    </w:rPr>
  </w:style>
  <w:style w:type="character" w:customStyle="1" w:styleId="XboxChar">
    <w:name w:val="Xbox Char"/>
    <w:basedOn w:val="CheckboxChar"/>
    <w:link w:val="Xbox"/>
    <w:rsid w:val="00E16E6C"/>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2562B5"/>
    <w:rPr>
      <w:b/>
      <w:i/>
      <w:color w:val="39945E"/>
      <w:sz w:val="36"/>
      <w:szCs w:val="36"/>
    </w:rPr>
  </w:style>
  <w:style w:type="paragraph" w:customStyle="1" w:styleId="TableHeader">
    <w:name w:val="Table Header"/>
    <w:basedOn w:val="BodyText"/>
    <w:link w:val="TableHeaderChar"/>
    <w:qFormat/>
    <w:rsid w:val="00C84C66"/>
    <w:pPr>
      <w:jc w:val="center"/>
    </w:pPr>
    <w:rPr>
      <w:b/>
      <w:color w:val="FFFFFF" w:themeColor="background1"/>
      <w:sz w:val="26"/>
      <w:szCs w:val="26"/>
    </w:rPr>
  </w:style>
  <w:style w:type="character" w:customStyle="1" w:styleId="TableHeaderChar">
    <w:name w:val="Table Header Char"/>
    <w:basedOn w:val="BodyTextChar"/>
    <w:link w:val="TableHeader"/>
    <w:rsid w:val="00C84C66"/>
    <w:rPr>
      <w:rFonts w:ascii="Calibri" w:eastAsia="Times New Roman" w:hAnsi="Calibri" w:cs="Arial"/>
      <w:b/>
      <w:color w:val="FFFFFF" w:themeColor="background1"/>
      <w:sz w:val="26"/>
      <w:szCs w:val="26"/>
    </w:rPr>
  </w:style>
  <w:style w:type="character" w:styleId="Hyperlink">
    <w:name w:val="Hyperlink"/>
    <w:basedOn w:val="DefaultParagraphFont"/>
    <w:uiPriority w:val="99"/>
    <w:unhideWhenUsed/>
    <w:rsid w:val="008C01A9"/>
    <w:rPr>
      <w:color w:val="0563C1" w:themeColor="hyperlink"/>
      <w:u w:val="single"/>
    </w:rPr>
  </w:style>
  <w:style w:type="paragraph" w:customStyle="1" w:styleId="BulletlistHighlight">
    <w:name w:val="Bullet list Highlight"/>
    <w:basedOn w:val="BodyText"/>
    <w:rsid w:val="008C01A9"/>
    <w:pPr>
      <w:numPr>
        <w:numId w:val="5"/>
      </w:numPr>
      <w:spacing w:before="120" w:after="120"/>
    </w:pPr>
    <w:rPr>
      <w:color w:val="FFFFFF"/>
    </w:rPr>
  </w:style>
  <w:style w:type="paragraph" w:customStyle="1" w:styleId="LR-Heading">
    <w:name w:val="LR-Heading"/>
    <w:basedOn w:val="Normal"/>
    <w:link w:val="LR-HeadingChar"/>
    <w:qFormat/>
    <w:rsid w:val="008C01A9"/>
    <w:pPr>
      <w:spacing w:before="120" w:after="120" w:line="240" w:lineRule="auto"/>
    </w:pPr>
    <w:rPr>
      <w:rFonts w:ascii="Calibri" w:eastAsia="Times New Roman" w:hAnsi="Calibri" w:cs="Times New Roman"/>
      <w:b/>
      <w:caps/>
      <w:color w:val="595959"/>
      <w:sz w:val="28"/>
      <w:szCs w:val="20"/>
    </w:rPr>
  </w:style>
  <w:style w:type="character" w:customStyle="1" w:styleId="LR-HeadingChar">
    <w:name w:val="LR-Heading Char"/>
    <w:link w:val="LR-Heading"/>
    <w:rsid w:val="008C01A9"/>
    <w:rPr>
      <w:rFonts w:ascii="Calibri" w:eastAsia="Times New Roman" w:hAnsi="Calibri" w:cs="Times New Roman"/>
      <w:b/>
      <w:caps/>
      <w:color w:val="595959"/>
      <w:sz w:val="28"/>
      <w:szCs w:val="20"/>
    </w:rPr>
  </w:style>
  <w:style w:type="paragraph" w:customStyle="1" w:styleId="LR-BulletList">
    <w:name w:val="LR-Bullet List"/>
    <w:basedOn w:val="BulletlistHighlight"/>
    <w:link w:val="LR-BulletListChar"/>
    <w:qFormat/>
    <w:rsid w:val="008C01A9"/>
    <w:rPr>
      <w:color w:val="595959"/>
    </w:rPr>
  </w:style>
  <w:style w:type="character" w:customStyle="1" w:styleId="LR-BulletListChar">
    <w:name w:val="LR-Bullet List Char"/>
    <w:link w:val="LR-BulletList"/>
    <w:rsid w:val="008C01A9"/>
    <w:rPr>
      <w:rFonts w:ascii="Calibri" w:eastAsia="Times New Roman" w:hAnsi="Calibri" w:cs="Arial"/>
      <w:color w:val="595959"/>
      <w:szCs w:val="20"/>
    </w:rPr>
  </w:style>
  <w:style w:type="paragraph" w:customStyle="1" w:styleId="SectionedHeader">
    <w:name w:val="Sectioned Header"/>
    <w:basedOn w:val="SubHeader"/>
    <w:link w:val="SectionedHeaderChar"/>
    <w:qFormat/>
    <w:rsid w:val="002562B5"/>
    <w:rPr>
      <w:color w:val="39945E"/>
      <w:sz w:val="32"/>
      <w:szCs w:val="32"/>
    </w:rPr>
  </w:style>
  <w:style w:type="character" w:customStyle="1" w:styleId="SectionedHeaderChar">
    <w:name w:val="Sectioned Header Char"/>
    <w:basedOn w:val="SubHeaderChar"/>
    <w:link w:val="SectionedHeader"/>
    <w:rsid w:val="002562B5"/>
    <w:rPr>
      <w:rFonts w:ascii="Calibri" w:eastAsia="Times New Roman" w:hAnsi="Calibri" w:cs="Arial"/>
      <w:b/>
      <w:color w:val="39945E"/>
      <w:sz w:val="32"/>
      <w:szCs w:val="32"/>
    </w:rPr>
  </w:style>
  <w:style w:type="numbering" w:customStyle="1" w:styleId="BulletedList">
    <w:name w:val="Bulleted List"/>
    <w:uiPriority w:val="99"/>
    <w:rsid w:val="00DE52C3"/>
    <w:pPr>
      <w:numPr>
        <w:numId w:val="6"/>
      </w:numPr>
    </w:pPr>
  </w:style>
  <w:style w:type="paragraph" w:customStyle="1" w:styleId="Bullet">
    <w:name w:val="Bullet"/>
    <w:basedOn w:val="BodyText"/>
    <w:link w:val="BulletChar"/>
    <w:qFormat/>
    <w:rsid w:val="00A44EB7"/>
    <w:pPr>
      <w:numPr>
        <w:numId w:val="9"/>
      </w:numPr>
      <w:spacing w:before="120" w:after="120"/>
    </w:pPr>
  </w:style>
  <w:style w:type="character" w:customStyle="1" w:styleId="BulletChar">
    <w:name w:val="Bullet Char"/>
    <w:basedOn w:val="BodyTextChar"/>
    <w:link w:val="Bullet"/>
    <w:rsid w:val="00A44EB7"/>
    <w:rPr>
      <w:rFonts w:ascii="Calibri" w:eastAsia="Times New Roman" w:hAnsi="Calibri" w:cs="Arial"/>
      <w:color w:val="595959"/>
      <w:szCs w:val="20"/>
    </w:rPr>
  </w:style>
  <w:style w:type="character" w:styleId="UnresolvedMention">
    <w:name w:val="Unresolved Mention"/>
    <w:basedOn w:val="DefaultParagraphFont"/>
    <w:uiPriority w:val="99"/>
    <w:semiHidden/>
    <w:unhideWhenUsed/>
    <w:rsid w:val="00A44EB7"/>
    <w:rPr>
      <w:color w:val="605E5C"/>
      <w:shd w:val="clear" w:color="auto" w:fill="E1DFDD"/>
    </w:rPr>
  </w:style>
  <w:style w:type="character" w:styleId="FollowedHyperlink">
    <w:name w:val="FollowedHyperlink"/>
    <w:basedOn w:val="DefaultParagraphFont"/>
    <w:uiPriority w:val="99"/>
    <w:semiHidden/>
    <w:unhideWhenUsed/>
    <w:rsid w:val="00A44EB7"/>
    <w:rPr>
      <w:color w:val="954F72" w:themeColor="followedHyperlink"/>
      <w:u w:val="single"/>
    </w:rPr>
  </w:style>
  <w:style w:type="paragraph" w:customStyle="1" w:styleId="H-BulletList">
    <w:name w:val="H-Bullet List"/>
    <w:basedOn w:val="Normal"/>
    <w:link w:val="H-BulletListChar"/>
    <w:qFormat/>
    <w:rsid w:val="00A44EB7"/>
    <w:pPr>
      <w:numPr>
        <w:numId w:val="10"/>
      </w:numPr>
      <w:spacing w:before="120" w:after="120" w:line="240" w:lineRule="auto"/>
    </w:pPr>
    <w:rPr>
      <w:rFonts w:ascii="Calibri" w:eastAsia="Calibri" w:hAnsi="Calibri" w:cs="Times New Roman"/>
      <w:color w:val="595959"/>
      <w:szCs w:val="24"/>
    </w:rPr>
  </w:style>
  <w:style w:type="character" w:customStyle="1" w:styleId="H-BulletListChar">
    <w:name w:val="H-Bullet List Char"/>
    <w:link w:val="H-BulletList"/>
    <w:rsid w:val="00A44EB7"/>
    <w:rPr>
      <w:rFonts w:ascii="Calibri" w:eastAsia="Calibri" w:hAnsi="Calibri" w:cs="Times New Roman"/>
      <w:color w:val="595959"/>
      <w:szCs w:val="24"/>
    </w:rPr>
  </w:style>
  <w:style w:type="character" w:customStyle="1" w:styleId="Heading1Char">
    <w:name w:val="Heading 1 Char"/>
    <w:basedOn w:val="DefaultParagraphFont"/>
    <w:link w:val="Heading1"/>
    <w:uiPriority w:val="9"/>
    <w:rsid w:val="00A44EB7"/>
    <w:rPr>
      <w:rFonts w:ascii="Calibri" w:eastAsia="Times New Roman" w:hAnsi="Calibri" w:cs="Times New Roman"/>
      <w:b/>
      <w:caps/>
      <w:color w:val="0B6787"/>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osha.gov/dep/index.html" TargetMode="External" /><Relationship Id="rId8" Type="http://schemas.openxmlformats.org/officeDocument/2006/relationships/hyperlink" Target="https://www.osha.gov/penalties/" TargetMode="External" /><Relationship Id="rId9" Type="http://schemas.openxmlformats.org/officeDocument/2006/relationships/hyperlink" Target="https://www.federalregister.gov/documents/2016/07/01/2016-15378/department-of-labor-federal-civil-penalties-inflation-adjustment-act-catch-up-adjustments"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66270-686E-4FE4-89F9-14262006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Amado, Juan</dc:creator>
  <cp:lastModifiedBy>Schlosser, Janelle</cp:lastModifiedBy>
  <cp:revision>2</cp:revision>
  <dcterms:created xsi:type="dcterms:W3CDTF">2022-01-14T15:16:00Z</dcterms:created>
  <dcterms:modified xsi:type="dcterms:W3CDTF">2022-01-14T15:16:00Z</dcterms:modified>
</cp:coreProperties>
</file>