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6000D" w:rsidRPr="00036D4E" w:rsidP="008A7E71" w14:paraId="7E9F2E7C" w14:textId="4F4B6CC4">
      <w:pPr>
        <w:pStyle w:val="MainTitle"/>
      </w:pPr>
      <w:r w:rsidR="005E109F">
        <w:drawing>
          <wp:anchor simplePos="0" relativeHeight="251658240" behindDoc="0" locked="1" layoutInCell="1" allowOverlap="1">
            <wp:simplePos x="0" y="0"/>
            <wp:positionH relativeFrom="margin">
              <wp:posOffset>2730500</wp:posOffset>
            </wp:positionH>
            <wp:positionV relativeFrom="margin">
              <wp:posOffset>6223000</wp:posOffset>
            </wp:positionV>
            <wp:extent cx="1645923" cy="1120142"/>
            <wp:wrapNone/>
            <wp:docPr id="100055"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xmlns:r="http://schemas.openxmlformats.org/officeDocument/2006/relationships" r:embed="rId4"/>
                    <a:stretch>
                      <a:fillRect/>
                    </a:stretch>
                  </pic:blipFill>
                  <pic:spPr>
                    <a:xfrm>
                      <a:off x="0" y="0"/>
                      <a:ext cx="1645923" cy="1120142"/>
                    </a:xfrm>
                    <a:prstGeom prst="rect">
                      <a:avLst/>
                    </a:prstGeom>
                  </pic:spPr>
                </pic:pic>
              </a:graphicData>
            </a:graphic>
          </wp:anchor>
        </w:drawing>
      </w:r>
      <w:r w:rsidRPr="00036D4E">
        <w:rPr>
          <w:noProof/>
        </w:rPr>
        <mc:AlternateContent>
          <mc:Choice Requires="wpg">
            <w:drawing>
              <wp:anchor distT="0" distB="0" distL="114300" distR="114300" simplePos="0" relativeHeight="251666432" behindDoc="1" locked="0" layoutInCell="1" allowOverlap="1">
                <wp:simplePos x="0" y="0"/>
                <wp:positionH relativeFrom="column">
                  <wp:posOffset>-449179</wp:posOffset>
                </wp:positionH>
                <wp:positionV relativeFrom="paragraph">
                  <wp:posOffset>4879</wp:posOffset>
                </wp:positionV>
                <wp:extent cx="7772400" cy="2903622"/>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2903622"/>
                          <a:chOff x="3877" y="0"/>
                          <a:chExt cx="7772400" cy="2903622"/>
                        </a:xfrm>
                      </wpg:grpSpPr>
                      <wpg:grpSp>
                        <wpg:cNvPr id="2" name="Group 2"/>
                        <wpg:cNvGrpSpPr/>
                        <wpg:grpSpPr>
                          <a:xfrm>
                            <a:off x="3877" y="0"/>
                            <a:ext cx="7772400" cy="962794"/>
                            <a:chOff x="3877" y="0"/>
                            <a:chExt cx="7772400" cy="962794"/>
                          </a:xfrm>
                        </wpg:grpSpPr>
                        <pic:pic xmlns:pic="http://schemas.openxmlformats.org/drawingml/2006/picture">
                          <pic:nvPicPr>
                            <pic:cNvPr id="3" name="Picture 3"/>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3877" y="327660"/>
                              <a:ext cx="7772400" cy="635134"/>
                            </a:xfrm>
                            <a:prstGeom prst="rect">
                              <a:avLst/>
                            </a:prstGeom>
                          </pic:spPr>
                        </pic:pic>
                        <wps:wsp xmlns:wps="http://schemas.microsoft.com/office/word/2010/wordprocessingShape">
                          <wps:cNvPr id="6"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A95ADA" w:rsidRPr="00B27C10" w:rsidP="00763EB7" w14:textId="4E815BC2">
                                <w:pPr>
                                  <w:pStyle w:val="SectionedHeader"/>
                                  <w:spacing w:before="0"/>
                                </w:pPr>
                                <w:r>
                                  <w:t xml:space="preserve">Plan Design </w:t>
                                </w:r>
                                <w:r w:rsidR="00FD4D62">
                                  <w:t xml:space="preserve">Changes </w:t>
                                </w:r>
                              </w:p>
                            </w:txbxContent>
                          </wps:txbx>
                          <wps:bodyPr rot="0" vert="horz" wrap="square" lIns="91440" tIns="45720" rIns="91440" bIns="45720" anchor="t" anchorCtr="0"/>
                        </wps:wsp>
                      </wpg:grpSp>
                      <wps:wsp xmlns:wps="http://schemas.microsoft.com/office/word/2010/wordprocessingShape">
                        <wps:cNvPr id="217" name="Text Box 2"/>
                        <wps:cNvSpPr txBox="1">
                          <a:spLocks noChangeArrowheads="1"/>
                        </wps:cNvSpPr>
                        <wps:spPr bwMode="auto">
                          <a:xfrm>
                            <a:off x="5022273" y="360091"/>
                            <a:ext cx="2413000" cy="2543531"/>
                          </a:xfrm>
                          <a:prstGeom prst="rect">
                            <a:avLst/>
                          </a:prstGeom>
                          <a:noFill/>
                          <a:ln w="9525">
                            <a:noFill/>
                            <a:miter lim="800000"/>
                            <a:headEnd/>
                            <a:tailEnd/>
                          </a:ln>
                        </wps:spPr>
                        <wps:txbx>
                          <w:txbxContent>
                            <w:p w:rsidR="0016683E" w:rsidRPr="00526C74" w:rsidP="0016683E" w14:textId="45025F52">
                              <w:pPr>
                                <w:pStyle w:val="BodyText"/>
                                <w:spacing w:after="60"/>
                              </w:pPr>
                              <w:r w:rsidRPr="00FD4D62">
                                <w:t xml:space="preserve">The following </w:t>
                              </w:r>
                              <w:r w:rsidR="005E109F">
                                <w:t xml:space="preserve">plan design requirements </w:t>
                              </w:r>
                              <w:r w:rsidRPr="00FD4D62">
                                <w:t>have changed for 202</w:t>
                              </w:r>
                              <w:r w:rsidR="001F144E">
                                <w:t>2</w:t>
                              </w:r>
                              <w:r w:rsidRPr="00FD4D62">
                                <w:t>:</w:t>
                              </w:r>
                            </w:p>
                            <w:p w:rsidR="00FD4D62" w:rsidP="00FD4D62" w14:textId="45DF1118">
                              <w:pPr>
                                <w:pStyle w:val="BulletList"/>
                                <w:numPr>
                                  <w:ilvl w:val="0"/>
                                  <w:numId w:val="8"/>
                                </w:numPr>
                                <w:jc w:val="left"/>
                              </w:pPr>
                              <w:r>
                                <w:t>Limits on c</w:t>
                              </w:r>
                              <w:r>
                                <w:t>ost</w:t>
                              </w:r>
                              <w:r w:rsidR="00025C37">
                                <w:t xml:space="preserve"> </w:t>
                              </w:r>
                              <w:r>
                                <w:t xml:space="preserve">sharing </w:t>
                              </w:r>
                              <w:r>
                                <w:t>for essential health benefits</w:t>
                              </w:r>
                            </w:p>
                            <w:p w:rsidR="005E109F" w:rsidP="00AD0987" w14:textId="75FF30DD">
                              <w:pPr>
                                <w:pStyle w:val="BulletList"/>
                                <w:numPr>
                                  <w:ilvl w:val="0"/>
                                  <w:numId w:val="8"/>
                                </w:numPr>
                                <w:jc w:val="left"/>
                              </w:pPr>
                              <w:r>
                                <w:t>Coverage affordability percentages</w:t>
                              </w:r>
                              <w:r>
                                <w:t xml:space="preserve"> under the employer shared responsibility rules</w:t>
                              </w:r>
                            </w:p>
                            <w:p w:rsidR="00753205" w:rsidP="00AD0987" w14:textId="6E439476">
                              <w:pPr>
                                <w:pStyle w:val="BulletList"/>
                                <w:numPr>
                                  <w:ilvl w:val="0"/>
                                  <w:numId w:val="8"/>
                                </w:numPr>
                                <w:jc w:val="left"/>
                              </w:pPr>
                              <w:r>
                                <w:t>Maximum penalties for ACA reporting violations</w:t>
                              </w:r>
                            </w:p>
                            <w:p w:rsidR="00753205" w:rsidP="00AD0987" w14:textId="17CBE71C">
                              <w:pPr>
                                <w:pStyle w:val="BulletList"/>
                                <w:numPr>
                                  <w:ilvl w:val="0"/>
                                  <w:numId w:val="8"/>
                                </w:numPr>
                                <w:jc w:val="left"/>
                              </w:pPr>
                              <w:r>
                                <w:t>Health flexible spending account (FSA) salary contribution limits</w:t>
                              </w:r>
                            </w:p>
                          </w:txbxContent>
                        </wps:txbx>
                        <wps:bodyPr rot="0" vert="horz" wrap="square" lIns="91440" tIns="45720" rIns="91440" bIns="45720" anchor="t" anchorCtr="0"/>
                      </wps:wsp>
                    </wpg:wgp>
                  </a:graphicData>
                </a:graphic>
                <wp14:sizeRelV relativeFrom="margin">
                  <wp14:pctHeight>0</wp14:pctHeight>
                </wp14:sizeRelV>
              </wp:anchor>
            </w:drawing>
          </mc:Choice>
          <mc:Fallback>
            <w:pict>
              <v:group id="Group 7" o:spid="_x0000_s1025" style="width:612pt;height:228.63pt;margin-top:0.38pt;margin-left:-35.37pt;mso-height-percent:0;mso-height-relative:margin;mso-wrap-distance-bottom:0;mso-wrap-distance-left:9pt;mso-wrap-distance-right:9pt;mso-wrap-distance-top:0;position:absolute;z-index:-251651072" coordorigin="10,0" coordsize="21600,21600">
                <v:group id="_x0000_s1026" style="width:21600;height:7162;left:11;position:absolute" coordorigin="1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1600;height:14249;left:11;position:absolute;top:7351">
                    <v:imagedata r:id="rId5" o:title=""/>
                  </v:shape>
                  <v:shapetype id="_x0000_t202" coordsize="21600,21600" o:spt="202" path="m,l,21600r21600,l21600,xe">
                    <v:stroke joinstyle="miter"/>
                    <v:path gradientshapeok="t" o:connecttype="rect"/>
                  </v:shapetype>
                  <v:shape id="_x0000_s1028" type="#_x0000_t202" style="width:6706;height:7394;left:13955;position:absolute;v-text-anchor:top" filled="f" fillcolor="this" stroked="f" strokeweight="0.75pt">
                    <v:textbox>
                      <w:txbxContent>
                        <w:p w:rsidR="00A95ADA" w:rsidRPr="00B27C10" w:rsidP="00763EB7" w14:paraId="08BE77F2" w14:textId="4E815BC2">
                          <w:pPr>
                            <w:pStyle w:val="SectionedHeader"/>
                            <w:spacing w:before="0"/>
                          </w:pPr>
                          <w:r>
                            <w:t xml:space="preserve">Plan Design </w:t>
                          </w:r>
                          <w:r w:rsidR="00FD4D62">
                            <w:t xml:space="preserve">Changes </w:t>
                          </w:r>
                        </w:p>
                      </w:txbxContent>
                    </v:textbox>
                  </v:shape>
                </v:group>
                <v:shape id="_x0000_s1029" type="#_x0000_t202" style="width:6706;height:18921;left:13957;position:absolute;top:2679;v-text-anchor:top" filled="f" fillcolor="this" stroked="f" strokeweight="0.75pt">
                  <v:textbox>
                    <w:txbxContent>
                      <w:p w:rsidR="0016683E" w:rsidRPr="00526C74" w:rsidP="0016683E" w14:paraId="0623CA6D" w14:textId="45025F52">
                        <w:pPr>
                          <w:pStyle w:val="BodyText"/>
                          <w:spacing w:after="60"/>
                        </w:pPr>
                        <w:r w:rsidRPr="00FD4D62">
                          <w:t xml:space="preserve">The following </w:t>
                        </w:r>
                        <w:r w:rsidR="005E109F">
                          <w:t xml:space="preserve">plan design requirements </w:t>
                        </w:r>
                        <w:r w:rsidRPr="00FD4D62">
                          <w:t>have changed for 202</w:t>
                        </w:r>
                        <w:r w:rsidR="001F144E">
                          <w:t>2</w:t>
                        </w:r>
                        <w:r w:rsidRPr="00FD4D62">
                          <w:t>:</w:t>
                        </w:r>
                      </w:p>
                      <w:p w:rsidR="00FD4D62" w:rsidP="00FD4D62" w14:paraId="26195FE9" w14:textId="45DF1118">
                        <w:pPr>
                          <w:pStyle w:val="BulletList"/>
                          <w:numPr>
                            <w:ilvl w:val="0"/>
                            <w:numId w:val="8"/>
                          </w:numPr>
                          <w:jc w:val="left"/>
                        </w:pPr>
                        <w:r>
                          <w:t>Limits on c</w:t>
                        </w:r>
                        <w:r>
                          <w:t>ost</w:t>
                        </w:r>
                        <w:r w:rsidR="00025C37">
                          <w:t xml:space="preserve"> </w:t>
                        </w:r>
                        <w:r>
                          <w:t xml:space="preserve">sharing </w:t>
                        </w:r>
                        <w:r>
                          <w:t>for essential health benefits</w:t>
                        </w:r>
                      </w:p>
                      <w:p w:rsidR="005E109F" w:rsidP="00AD0987" w14:paraId="22AACD66" w14:textId="75FF30DD">
                        <w:pPr>
                          <w:pStyle w:val="BulletList"/>
                          <w:numPr>
                            <w:ilvl w:val="0"/>
                            <w:numId w:val="8"/>
                          </w:numPr>
                          <w:jc w:val="left"/>
                        </w:pPr>
                        <w:r>
                          <w:t>Coverage affordability percentages</w:t>
                        </w:r>
                        <w:r>
                          <w:t xml:space="preserve"> under the employer shared responsibility rules</w:t>
                        </w:r>
                      </w:p>
                      <w:p w:rsidR="00753205" w:rsidP="00AD0987" w14:paraId="5A027DC7" w14:textId="6E439476">
                        <w:pPr>
                          <w:pStyle w:val="BulletList"/>
                          <w:numPr>
                            <w:ilvl w:val="0"/>
                            <w:numId w:val="8"/>
                          </w:numPr>
                          <w:jc w:val="left"/>
                        </w:pPr>
                        <w:r>
                          <w:t>Maximum penalties for ACA reporting violations</w:t>
                        </w:r>
                      </w:p>
                      <w:p w:rsidR="00753205" w:rsidP="00AD0987" w14:paraId="31A36BF4" w14:textId="17CBE71C">
                        <w:pPr>
                          <w:pStyle w:val="BulletList"/>
                          <w:numPr>
                            <w:ilvl w:val="0"/>
                            <w:numId w:val="8"/>
                          </w:numPr>
                          <w:jc w:val="left"/>
                        </w:pPr>
                        <w:r>
                          <w:t>Health flexible spending account (FSA) salary contribution limits</w:t>
                        </w:r>
                      </w:p>
                    </w:txbxContent>
                  </v:textbox>
                </v:shape>
              </v:group>
            </w:pict>
          </mc:Fallback>
        </mc:AlternateContent>
      </w:r>
      <w:r w:rsidR="005E109F">
        <w:t xml:space="preserve">Affordable Care Act: </w:t>
      </w:r>
      <w:r w:rsidR="00FD4D62">
        <w:t>20</w:t>
      </w:r>
      <w:r w:rsidR="001F144E">
        <w:t>22</w:t>
      </w:r>
      <w:r w:rsidR="00FD4D62">
        <w:t xml:space="preserve"> Compliance Checklist</w:t>
      </w:r>
    </w:p>
    <w:p w:rsidR="00FD4D62" w:rsidRPr="00763EB7" w:rsidP="00FD4D62" w14:paraId="3BC747F4" w14:textId="43FECCC6">
      <w:pPr>
        <w:pStyle w:val="BodyText"/>
      </w:pPr>
      <w:r>
        <w:t xml:space="preserve">The Affordable Care Act (ACA) has made a number of significant changes to group health plans since the law was enacted in 2010. </w:t>
      </w:r>
      <w:r w:rsidR="006C699B">
        <w:t>Since th</w:t>
      </w:r>
      <w:r w:rsidR="00025C37">
        <w:t>en</w:t>
      </w:r>
      <w:r w:rsidR="006C699B">
        <w:t xml:space="preserve">, </w:t>
      </w:r>
      <w:r w:rsidR="00025C37">
        <w:t>several</w:t>
      </w:r>
      <w:r w:rsidR="006C699B">
        <w:t xml:space="preserve"> changes have been made to various ACA requirements that employers and plan sponsors should be aware of. It is impo</w:t>
      </w:r>
      <w:bookmarkStart w:id="0" w:name="_GoBack"/>
      <w:bookmarkEnd w:id="0"/>
      <w:r w:rsidR="006C699B">
        <w:t>rtant for employers to periodically review their benefit plans in order to maintain compliance with these various requirements.</w:t>
      </w:r>
    </w:p>
    <w:p w:rsidR="00FD4D62" w:rsidP="00FD4D62" w14:paraId="67202DAF" w14:textId="7EDC3F06">
      <w:pPr>
        <w:pStyle w:val="BodyText"/>
      </w:pPr>
      <w:r>
        <w:t>C</w:t>
      </w:r>
      <w:r w:rsidRPr="00763EB7">
        <w:t>hanges to some ACA requirements take effect in 202</w:t>
      </w:r>
      <w:r w:rsidR="001F144E">
        <w:t>2</w:t>
      </w:r>
      <w:r w:rsidRPr="00763EB7">
        <w:t xml:space="preserve"> for employers sponsoring group health</w:t>
      </w:r>
      <w:r>
        <w:t xml:space="preserve"> plans, such as increased dollar limits. To prepare for 202</w:t>
      </w:r>
      <w:r w:rsidR="001F144E">
        <w:t>2</w:t>
      </w:r>
      <w:r>
        <w:t xml:space="preserve">, employers should review </w:t>
      </w:r>
      <w:r w:rsidR="006C699B">
        <w:t xml:space="preserve">these </w:t>
      </w:r>
      <w:r>
        <w:t>upcoming requirements and develop a compliance strategy.</w:t>
      </w:r>
    </w:p>
    <w:p w:rsidR="00500B71" w:rsidRPr="008F6F04" w:rsidP="00FD4D62" w14:paraId="58858ECE" w14:textId="6AB06798">
      <w:pPr>
        <w:pStyle w:val="BodyText"/>
        <w:sectPr w:rsidSect="008A7E71">
          <w:headerReference w:type="default" r:id="rId6"/>
          <w:footerReference w:type="default" r:id="rId7"/>
          <w:pgSz w:w="12240" w:h="15840"/>
          <w:pgMar w:top="3946" w:right="4680" w:bottom="1440" w:left="720" w:header="720" w:footer="720" w:gutter="0"/>
          <w:cols w:space="720"/>
          <w:docGrid w:linePitch="360"/>
        </w:sectPr>
      </w:pPr>
      <w:r>
        <w:rPr>
          <w:noProof/>
        </w:rPr>
        <mc:AlternateContent>
          <mc:Choice Requires="wps">
            <w:drawing>
              <wp:anchor distT="0" distB="0" distL="114300" distR="114300" simplePos="0" relativeHeight="251664384" behindDoc="0" locked="0" layoutInCell="1" allowOverlap="1">
                <wp:simplePos x="0" y="0"/>
                <wp:positionH relativeFrom="margin">
                  <wp:posOffset>-12065</wp:posOffset>
                </wp:positionH>
                <wp:positionV relativeFrom="page">
                  <wp:posOffset>6300801</wp:posOffset>
                </wp:positionV>
                <wp:extent cx="4361180" cy="1494790"/>
                <wp:effectExtent l="0" t="0" r="1270" b="0"/>
                <wp:wrapTopAndBottom/>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61180" cy="1494790"/>
                        </a:xfrm>
                        <a:prstGeom prst="rect">
                          <a:avLst/>
                        </a:prstGeom>
                        <a:solidFill>
                          <a:srgbClr val="CE2C43">
                            <a:alpha val="10000"/>
                          </a:srgbClr>
                        </a:solidFill>
                        <a:ln w="38100">
                          <a:noFill/>
                          <a:miter lim="800000"/>
                          <a:headEnd/>
                          <a:tailEnd/>
                        </a:ln>
                      </wps:spPr>
                      <wps:txbx>
                        <w:txbxContent>
                          <w:p w:rsidR="008C01A9" w:rsidRPr="00036D4E" w:rsidP="00A95ADA" w14:textId="77777777">
                            <w:pPr>
                              <w:pStyle w:val="LR-Heading"/>
                            </w:pPr>
                            <w:r w:rsidRPr="00036D4E">
                              <w:t>Links and Resources</w:t>
                            </w:r>
                          </w:p>
                          <w:p w:rsidR="00FD4D62" w:rsidP="00FD4D62" w14:textId="3A670DED">
                            <w:pPr>
                              <w:pStyle w:val="BulletList"/>
                              <w:numPr>
                                <w:ilvl w:val="0"/>
                                <w:numId w:val="9"/>
                              </w:numPr>
                            </w:pPr>
                            <w:r>
                              <w:t>U.S. Department of Health and Human Services’ (HHS)</w:t>
                            </w:r>
                            <w:r w:rsidR="00A92A89">
                              <w:t xml:space="preserve"> second</w:t>
                            </w:r>
                            <w:r>
                              <w:t xml:space="preserve"> </w:t>
                            </w:r>
                            <w:hyperlink r:id="rId8" w:history="1">
                              <w:r w:rsidRPr="00FD4D62">
                                <w:rPr>
                                  <w:rStyle w:val="Hyperlink"/>
                                </w:rPr>
                                <w:t>Final Notice of Benefit &amp; Payment Parameters for 202</w:t>
                              </w:r>
                              <w:r w:rsidR="00A92A89">
                                <w:rPr>
                                  <w:rStyle w:val="Hyperlink"/>
                                </w:rPr>
                                <w:t>2</w:t>
                              </w:r>
                            </w:hyperlink>
                            <w:r>
                              <w:t xml:space="preserve"> established the cost-sharing limits for 202</w:t>
                            </w:r>
                            <w:r w:rsidR="00A92A89">
                              <w:t>2</w:t>
                            </w:r>
                            <w:r w:rsidR="008F1682">
                              <w:t>.</w:t>
                            </w:r>
                          </w:p>
                          <w:p w:rsidR="008C01A9" w:rsidRPr="007201D3" w:rsidP="00FD4D62" w14:textId="425F45B1">
                            <w:pPr>
                              <w:pStyle w:val="BulletList"/>
                              <w:numPr>
                                <w:ilvl w:val="0"/>
                                <w:numId w:val="9"/>
                              </w:numPr>
                              <w:jc w:val="left"/>
                            </w:pPr>
                            <w:r>
                              <w:t xml:space="preserve">Internal Revenue Service (IRS) </w:t>
                            </w:r>
                            <w:hyperlink r:id="rId9" w:anchor="REV-PROC-2021-36" w:history="1">
                              <w:r w:rsidRPr="00FD4D62">
                                <w:rPr>
                                  <w:rStyle w:val="Hyperlink"/>
                                </w:rPr>
                                <w:t>Revenue Procedure 202</w:t>
                              </w:r>
                              <w:r w:rsidR="00A92A89">
                                <w:rPr>
                                  <w:rStyle w:val="Hyperlink"/>
                                </w:rPr>
                                <w:t>1</w:t>
                              </w:r>
                              <w:r w:rsidRPr="00FD4D62">
                                <w:rPr>
                                  <w:rStyle w:val="Hyperlink"/>
                                </w:rPr>
                                <w:t>-36</w:t>
                              </w:r>
                            </w:hyperlink>
                            <w:r>
                              <w:t xml:space="preserve"> indexed the affordability contribution percentages </w:t>
                            </w:r>
                            <w:r w:rsidR="00B34546">
                              <w:t>for</w:t>
                            </w:r>
                            <w:r>
                              <w:t xml:space="preserve"> 202</w:t>
                            </w:r>
                            <w:r w:rsidR="00A92A89">
                              <w:t>2</w:t>
                            </w:r>
                            <w:r w:rsidR="008F1682">
                              <w:t>.</w:t>
                            </w:r>
                          </w:p>
                        </w:txbxContent>
                      </wps:txbx>
                      <wps:bodyPr rot="0" vert="horz" wrap="square" lIns="91440" tIns="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 o:spid="_x0000_s1030" type="#_x0000_t202" style="width:343.4pt;height:117.7pt;margin-top:496.13pt;margin-left:-0.95pt;mso-height-percent:0;mso-height-relative:margin;mso-position-horizontal-relative:margin;mso-position-vertical-relative:page;mso-width-percent:0;mso-width-relative:margin;mso-wrap-distance-bottom:0;mso-wrap-distance-left:9pt;mso-wrap-distance-right:9pt;mso-wrap-distance-top:0;position:absolute;v-text-anchor:top;z-index:251663360" fillcolor="#ce2c43" stroked="f" strokeweight="3pt">
                <v:fill opacity="6682f"/>
                <v:textbox inset=",0">
                  <w:txbxContent>
                    <w:p w:rsidR="008C01A9" w:rsidRPr="00036D4E" w:rsidP="00A95ADA" w14:paraId="36AB63DB" w14:textId="77777777">
                      <w:pPr>
                        <w:pStyle w:val="LR-Heading"/>
                      </w:pPr>
                      <w:r w:rsidRPr="00036D4E">
                        <w:t>Links and Resources</w:t>
                      </w:r>
                    </w:p>
                    <w:p w:rsidR="00FD4D62" w:rsidP="00FD4D62" w14:paraId="682290CA" w14:textId="3A670DED">
                      <w:pPr>
                        <w:pStyle w:val="BulletList"/>
                        <w:numPr>
                          <w:ilvl w:val="0"/>
                          <w:numId w:val="9"/>
                        </w:numPr>
                      </w:pPr>
                      <w:r>
                        <w:t>U.S. Department of Health and Human Services’ (HHS)</w:t>
                      </w:r>
                      <w:r w:rsidR="00A92A89">
                        <w:t xml:space="preserve"> second</w:t>
                      </w:r>
                      <w:r>
                        <w:t xml:space="preserve"> </w:t>
                      </w:r>
                      <w:hyperlink r:id="rId8" w:history="1">
                        <w:r w:rsidRPr="00FD4D62">
                          <w:rPr>
                            <w:rStyle w:val="Hyperlink"/>
                          </w:rPr>
                          <w:t>Final Notice of Benefit &amp; Payment Parameters for 202</w:t>
                        </w:r>
                        <w:r w:rsidR="00A92A89">
                          <w:rPr>
                            <w:rStyle w:val="Hyperlink"/>
                          </w:rPr>
                          <w:t>2</w:t>
                        </w:r>
                      </w:hyperlink>
                      <w:r>
                        <w:t xml:space="preserve"> established the cost-sharing limits for 202</w:t>
                      </w:r>
                      <w:r w:rsidR="00A92A89">
                        <w:t>2</w:t>
                      </w:r>
                      <w:r w:rsidR="008F1682">
                        <w:t>.</w:t>
                      </w:r>
                    </w:p>
                    <w:p w:rsidR="008C01A9" w:rsidRPr="007201D3" w:rsidP="00FD4D62" w14:paraId="1119731F" w14:textId="425F45B1">
                      <w:pPr>
                        <w:pStyle w:val="BulletList"/>
                        <w:numPr>
                          <w:ilvl w:val="0"/>
                          <w:numId w:val="9"/>
                        </w:numPr>
                        <w:jc w:val="left"/>
                      </w:pPr>
                      <w:r>
                        <w:t xml:space="preserve">Internal Revenue Service (IRS) </w:t>
                      </w:r>
                      <w:hyperlink r:id="rId9" w:anchor="REV-PROC-2021-36" w:history="1">
                        <w:r w:rsidRPr="00FD4D62">
                          <w:rPr>
                            <w:rStyle w:val="Hyperlink"/>
                          </w:rPr>
                          <w:t>Revenue Procedure 202</w:t>
                        </w:r>
                        <w:r w:rsidR="00A92A89">
                          <w:rPr>
                            <w:rStyle w:val="Hyperlink"/>
                          </w:rPr>
                          <w:t>1</w:t>
                        </w:r>
                        <w:r w:rsidRPr="00FD4D62">
                          <w:rPr>
                            <w:rStyle w:val="Hyperlink"/>
                          </w:rPr>
                          <w:t>-36</w:t>
                        </w:r>
                      </w:hyperlink>
                      <w:r>
                        <w:t xml:space="preserve"> indexed the affordability contribution percentages </w:t>
                      </w:r>
                      <w:r w:rsidR="00B34546">
                        <w:t>for</w:t>
                      </w:r>
                      <w:r>
                        <w:t xml:space="preserve"> 202</w:t>
                      </w:r>
                      <w:r w:rsidR="00A92A89">
                        <w:t>2</w:t>
                      </w:r>
                      <w:r w:rsidR="008F1682">
                        <w:t>.</w:t>
                      </w:r>
                    </w:p>
                  </w:txbxContent>
                </v:textbox>
                <w10:wrap type="topAndBottom"/>
              </v:shape>
            </w:pict>
          </mc:Fallback>
        </mc:AlternateContent>
      </w:r>
      <w:r>
        <w:t>This ACA Overview provides an ACA compliance checklist for 202</w:t>
      </w:r>
      <w:r w:rsidR="001F144E">
        <w:t>2</w:t>
      </w:r>
      <w:r>
        <w:t xml:space="preserve">. Please contact </w:t>
      </w:r>
      <w:r>
        <w:t>Foundation Risk Partners</w:t>
      </w:r>
      <w:r>
        <w:t xml:space="preserve"> for assistance or if you have questions about changes that were required in previous years.</w:t>
      </w:r>
      <w:r w:rsidRPr="008F6F04" w:rsidR="000847AD">
        <w:rPr>
          <w:noProof/>
        </w:rPr>
        <mc:AlternateContent>
          <mc:Choice Requires="wps">
            <w:drawing>
              <wp:anchor distT="0" distB="0" distL="114300" distR="114300" simplePos="0" relativeHeight="251660288" behindDoc="0" locked="0" layoutInCell="1" allowOverlap="1">
                <wp:simplePos x="0" y="0"/>
                <wp:positionH relativeFrom="margin">
                  <wp:posOffset>-98425</wp:posOffset>
                </wp:positionH>
                <wp:positionV relativeFrom="margin">
                  <wp:posOffset>5986087</wp:posOffset>
                </wp:positionV>
                <wp:extent cx="4344670" cy="59499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344670" cy="594995"/>
                        </a:xfrm>
                        <a:prstGeom prst="rect">
                          <a:avLst/>
                        </a:prstGeom>
                        <a:noFill/>
                        <a:ln w="6350">
                          <a:noFill/>
                        </a:ln>
                        <a:effectLst/>
                      </wps:spPr>
                      <wps:txbx>
                        <w:txbxContent>
                          <w:p w:rsidR="00E6115F" w:rsidRPr="000847AD" w:rsidP="00E6115F" w14:textId="77777777">
                            <w:pPr>
                              <w:pStyle w:val="Header"/>
                              <w:rPr>
                                <w:sz w:val="20"/>
                                <w:szCs w:val="20"/>
                              </w:rPr>
                            </w:pPr>
                            <w:r w:rsidRPr="000847AD">
                              <w:rPr>
                                <w:color w:val="595959" w:themeColor="text1" w:themeTint="A6"/>
                                <w:sz w:val="20"/>
                                <w:szCs w:val="20"/>
                              </w:rPr>
                              <w:t xml:space="preserve">Provided to you by </w:t>
                            </w:r>
                            <w:r w:rsidRPr="00036D4E">
                              <w:rPr>
                                <w:b/>
                                <w:color w:val="CE2C43"/>
                                <w:sz w:val="20"/>
                                <w:szCs w:val="20"/>
                              </w:rPr>
                              <w:t>Foundation Risk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width:342.1pt;height:46.85pt;margin-top:471.35pt;margin-left:-7.75pt;mso-height-percent:0;mso-height-relative:margin;mso-position-horizontal-relative:margin;mso-position-vertical-relative:margin;mso-width-percent:0;mso-width-relative:margin;mso-wrap-distance-bottom:0;mso-wrap-distance-left:9pt;mso-wrap-distance-right:9pt;mso-wrap-distance-top:0;position:absolute;v-text-anchor:top;z-index:251659264" filled="f" fillcolor="this" stroked="f" strokeweight="0.5pt">
                <v:textbox>
                  <w:txbxContent>
                    <w:p w:rsidR="00E6115F" w:rsidRPr="000847AD" w:rsidP="00E6115F" w14:paraId="43EB1889" w14:textId="77777777">
                      <w:pPr>
                        <w:pStyle w:val="Header"/>
                        <w:rPr>
                          <w:sz w:val="20"/>
                          <w:szCs w:val="20"/>
                        </w:rPr>
                      </w:pPr>
                      <w:r w:rsidRPr="000847AD">
                        <w:rPr>
                          <w:color w:val="595959" w:themeColor="text1" w:themeTint="A6"/>
                          <w:sz w:val="20"/>
                          <w:szCs w:val="20"/>
                        </w:rPr>
                        <w:t xml:space="preserve">Provided to you by </w:t>
                      </w:r>
                      <w:r w:rsidRPr="00036D4E">
                        <w:rPr>
                          <w:b/>
                          <w:color w:val="CE2C43"/>
                          <w:sz w:val="20"/>
                          <w:szCs w:val="20"/>
                        </w:rPr>
                        <w:t>Foundation Risk Partners</w:t>
                      </w:r>
                    </w:p>
                  </w:txbxContent>
                </v:textbox>
                <w10:wrap anchorx="margin" anchory="margin"/>
              </v:shape>
            </w:pict>
          </mc:Fallback>
        </mc:AlternateContent>
      </w:r>
      <w:r w:rsidRPr="008F6F04" w:rsidR="008F6F04">
        <w:rPr>
          <w:noProof/>
        </w:rPr>
        <mc:AlternateContent>
          <mc:Choice Requires="wpg">
            <w:drawing>
              <wp:anchor distT="0" distB="0" distL="114300" distR="114300" simplePos="0" relativeHeight="251662336" behindDoc="1" locked="0" layoutInCell="1" allowOverlap="1">
                <wp:simplePos x="0" y="0"/>
                <wp:positionH relativeFrom="page">
                  <wp:posOffset>31531</wp:posOffset>
                </wp:positionH>
                <wp:positionV relativeFrom="page">
                  <wp:posOffset>5486400</wp:posOffset>
                </wp:positionV>
                <wp:extent cx="7740650" cy="2827020"/>
                <wp:effectExtent l="0" t="0" r="0"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7740650" cy="2827020"/>
                          <a:chOff x="31586" y="0"/>
                          <a:chExt cx="7740814" cy="2827251"/>
                        </a:xfrm>
                      </wpg:grpSpPr>
                      <wpg:grpSp>
                        <wpg:cNvPr id="8" name="Group 8"/>
                        <wpg:cNvGrpSpPr/>
                        <wpg:grpSpPr>
                          <a:xfrm>
                            <a:off x="31586" y="0"/>
                            <a:ext cx="7740814" cy="960135"/>
                            <a:chOff x="31586" y="0"/>
                            <a:chExt cx="7740814" cy="960135"/>
                          </a:xfrm>
                        </wpg:grpSpPr>
                        <pic:pic xmlns:pic="http://schemas.openxmlformats.org/drawingml/2006/picture">
                          <pic:nvPicPr>
                            <pic:cNvPr id="11" name="Picture 11"/>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31586" y="327633"/>
                              <a:ext cx="7740814" cy="632502"/>
                            </a:xfrm>
                            <a:prstGeom prst="rect">
                              <a:avLst/>
                            </a:prstGeom>
                          </pic:spPr>
                        </pic:pic>
                        <wps:wsp xmlns:wps="http://schemas.microsoft.com/office/word/2010/wordprocessingShape">
                          <wps:cNvPr id="12"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677DD4" w:rsidRPr="00B27C10" w:rsidP="00763EB7" w14:textId="03A096B4">
                                <w:pPr>
                                  <w:pStyle w:val="SectionedHeader"/>
                                  <w:spacing w:before="0"/>
                                </w:pPr>
                                <w:r>
                                  <w:t>Penalty Calculations</w:t>
                                </w:r>
                              </w:p>
                            </w:txbxContent>
                          </wps:txbx>
                          <wps:bodyPr rot="0" vert="horz" wrap="square" lIns="91440" tIns="45720" rIns="91440" bIns="45720" anchor="t" anchorCtr="0"/>
                        </wps:wsp>
                      </wpg:grpSp>
                      <wps:wsp xmlns:wps="http://schemas.microsoft.com/office/word/2010/wordprocessingShape">
                        <wps:cNvPr id="14" name="Text Box 2"/>
                        <wps:cNvSpPr txBox="1">
                          <a:spLocks noChangeArrowheads="1"/>
                        </wps:cNvSpPr>
                        <wps:spPr bwMode="auto">
                          <a:xfrm>
                            <a:off x="5029200" y="353291"/>
                            <a:ext cx="2413000" cy="2473960"/>
                          </a:xfrm>
                          <a:prstGeom prst="rect">
                            <a:avLst/>
                          </a:prstGeom>
                          <a:noFill/>
                          <a:ln w="9525">
                            <a:noFill/>
                            <a:miter lim="800000"/>
                            <a:headEnd/>
                            <a:tailEnd/>
                          </a:ln>
                        </wps:spPr>
                        <wps:txbx>
                          <w:txbxContent>
                            <w:p w:rsidR="005E109F" w:rsidRPr="00526C74" w:rsidP="005E109F" w14:textId="02379C5B">
                              <w:pPr>
                                <w:pStyle w:val="BodyText"/>
                                <w:spacing w:after="60"/>
                              </w:pPr>
                              <w:r w:rsidRPr="00FD4D62">
                                <w:t xml:space="preserve">The following </w:t>
                              </w:r>
                              <w:r w:rsidR="00CD61BF">
                                <w:t>amounts related to ACA penalties</w:t>
                              </w:r>
                              <w:r>
                                <w:t xml:space="preserve"> </w:t>
                              </w:r>
                              <w:r w:rsidR="001F144E">
                                <w:t>will</w:t>
                              </w:r>
                              <w:r w:rsidRPr="00FD4D62">
                                <w:t xml:space="preserve"> change for 202</w:t>
                              </w:r>
                              <w:r w:rsidR="001F144E">
                                <w:t>2</w:t>
                              </w:r>
                              <w:r w:rsidRPr="00FD4D62">
                                <w:t>:</w:t>
                              </w:r>
                            </w:p>
                            <w:p w:rsidR="00AD0987" w:rsidP="00FD07BB" w14:textId="702786FD">
                              <w:pPr>
                                <w:pStyle w:val="BulletList"/>
                                <w:numPr>
                                  <w:ilvl w:val="0"/>
                                  <w:numId w:val="8"/>
                                </w:numPr>
                                <w:jc w:val="left"/>
                              </w:pPr>
                              <w:r>
                                <w:t>Dollar amounts for calculating employer shared responsibility penalties</w:t>
                              </w:r>
                            </w:p>
                          </w:txbxContent>
                        </wps:txbx>
                        <wps:bodyPr rot="0" vert="horz" wrap="square" lIns="91440" tIns="45720" rIns="91440" bIns="45720" anchor="t" anchorCtr="0"/>
                      </wps:wsp>
                    </wpg:wgp>
                  </a:graphicData>
                </a:graphic>
                <wp14:sizeRelH relativeFrom="margin">
                  <wp14:pctWidth>0</wp14:pctWidth>
                </wp14:sizeRelH>
              </wp:anchor>
            </w:drawing>
          </mc:Choice>
          <mc:Fallback>
            <w:pict>
              <v:group id="Group 10" o:spid="_x0000_s1032" style="width:609.5pt;height:222.6pt;margin-top:6in;margin-left:2.48pt;mso-position-horizontal-relative:page;mso-position-vertical-relative:page;mso-width-percent:0;mso-width-relative:margin;mso-wrap-distance-bottom:0;mso-wrap-distance-left:9pt;mso-wrap-distance-right:9pt;mso-wrap-distance-top:0;position:absolute;z-index:-251655168" coordorigin="88,0" coordsize="21600,21600">
                <v:group id="_x0000_s1033" style="width:21600;height:7335;left:88;position:absolute" coordorigin="88,0" coordsize="21600,21600">
                  <v:shape id="_x0000_s1034" type="#_x0000_t75" style="width:21600;height:14229;left:88;position:absolute;top:7371">
                    <v:imagedata r:id="rId5" o:title=""/>
                  </v:shape>
                  <v:shape id="_x0000_s1035" type="#_x0000_t202" style="width:6733;height:7414;left:14012;position:absolute;v-text-anchor:top" filled="f" fillcolor="this" stroked="f" strokeweight="0.75pt">
                    <v:textbox>
                      <w:txbxContent>
                        <w:p w:rsidR="00677DD4" w:rsidRPr="00B27C10" w:rsidP="00763EB7" w14:paraId="36712D6C" w14:textId="03A096B4">
                          <w:pPr>
                            <w:pStyle w:val="SectionedHeader"/>
                            <w:spacing w:before="0"/>
                          </w:pPr>
                          <w:r>
                            <w:t>Penalty Calculations</w:t>
                          </w:r>
                        </w:p>
                      </w:txbxContent>
                    </v:textbox>
                  </v:shape>
                </v:group>
                <v:shape id="_x0000_s1036" type="#_x0000_t202" style="width:6733;height:18901;left:14034;position:absolute;top:2699;v-text-anchor:top" filled="f" fillcolor="this" stroked="f" strokeweight="0.75pt">
                  <v:textbox>
                    <w:txbxContent>
                      <w:p w:rsidR="005E109F" w:rsidRPr="00526C74" w:rsidP="005E109F" w14:paraId="088AE7F4" w14:textId="02379C5B">
                        <w:pPr>
                          <w:pStyle w:val="BodyText"/>
                          <w:spacing w:after="60"/>
                        </w:pPr>
                        <w:r w:rsidRPr="00FD4D62">
                          <w:t xml:space="preserve">The following </w:t>
                        </w:r>
                        <w:r w:rsidR="00CD61BF">
                          <w:t>amounts related to ACA penalties</w:t>
                        </w:r>
                        <w:r>
                          <w:t xml:space="preserve"> </w:t>
                        </w:r>
                        <w:r w:rsidR="001F144E">
                          <w:t>will</w:t>
                        </w:r>
                        <w:r w:rsidRPr="00FD4D62">
                          <w:t xml:space="preserve"> change for 202</w:t>
                        </w:r>
                        <w:r w:rsidR="001F144E">
                          <w:t>2</w:t>
                        </w:r>
                        <w:r w:rsidRPr="00FD4D62">
                          <w:t>:</w:t>
                        </w:r>
                      </w:p>
                      <w:p w:rsidR="00AD0987" w:rsidP="00FD07BB" w14:paraId="33B7B2BE" w14:textId="702786FD">
                        <w:pPr>
                          <w:pStyle w:val="BulletList"/>
                          <w:numPr>
                            <w:ilvl w:val="0"/>
                            <w:numId w:val="8"/>
                          </w:numPr>
                          <w:jc w:val="left"/>
                        </w:pPr>
                        <w:r>
                          <w:t>Dollar amounts for calculating employer shared responsibility penalties</w:t>
                        </w:r>
                      </w:p>
                    </w:txbxContent>
                  </v:textbox>
                </v:shape>
              </v:group>
            </w:pict>
          </mc:Fallback>
        </mc:AlternateContent>
      </w:r>
    </w:p>
    <w:tbl>
      <w:tblPr>
        <w:tblW w:w="10800" w:type="dxa"/>
        <w:shd w:val="clear" w:color="auto" w:fill="BC5D58"/>
        <w:tblLook w:val="04A0"/>
      </w:tblPr>
      <w:tblGrid>
        <w:gridCol w:w="10800"/>
      </w:tblGrid>
      <w:tr w14:paraId="04F6C9EB" w14:textId="77777777" w:rsidTr="00FD4D62">
        <w:tblPrEx>
          <w:tblW w:w="10800" w:type="dxa"/>
          <w:shd w:val="clear" w:color="auto" w:fill="BC5D58"/>
          <w:tblLook w:val="04A0"/>
        </w:tblPrEx>
        <w:tc>
          <w:tcPr>
            <w:tcW w:w="10800" w:type="dxa"/>
            <w:shd w:val="clear" w:color="auto" w:fill="CE2C43"/>
          </w:tcPr>
          <w:p w:rsidR="00FD4D62" w:rsidP="00FD4D62" w14:paraId="16C454D2" w14:textId="77777777">
            <w:pPr>
              <w:pStyle w:val="TableHeader"/>
            </w:pPr>
            <w:r>
              <w:t xml:space="preserve">Plan </w:t>
            </w:r>
            <w:r w:rsidRPr="00FD4D62">
              <w:t>Design</w:t>
            </w:r>
            <w:r>
              <w:t xml:space="preserve"> </w:t>
            </w:r>
            <w:r w:rsidRPr="00A27025">
              <w:t>Changes</w:t>
            </w:r>
          </w:p>
        </w:tc>
      </w:tr>
    </w:tbl>
    <w:p w:rsidR="00FD4D62" w:rsidRPr="00FD4D62" w:rsidP="00362823" w14:paraId="0AACF6BE" w14:textId="77777777">
      <w:pPr>
        <w:pStyle w:val="SectionedHeader"/>
      </w:pPr>
      <w:r w:rsidRPr="003349D5">
        <w:t>Grandfathered Plan Status</w:t>
      </w:r>
    </w:p>
    <w:p w:rsidR="00FD4D62" w:rsidP="00FD4D62" w14:paraId="28829D9C" w14:textId="13E83C87">
      <w:pPr>
        <w:pStyle w:val="BodyText"/>
      </w:pPr>
      <w:r w:rsidRPr="00FE5E93">
        <w:t>A grandfathered plan is one that was already in existence when the ACA was enacted on March 23, 2010. If you make certain changes to your plan that go beyond permitted guidelines, your plan is no longer grandfathered.</w:t>
      </w:r>
      <w:r>
        <w:t xml:space="preserve"> </w:t>
      </w:r>
      <w:r w:rsidRPr="007B7912">
        <w:rPr>
          <w:b/>
        </w:rPr>
        <w:t>However, grandfathered status does not automatically expire as of a specific date.</w:t>
      </w:r>
      <w:r>
        <w:t xml:space="preserve"> </w:t>
      </w:r>
      <w:r w:rsidRPr="007B7912">
        <w:t xml:space="preserve">A plan may maintain its grandfathered status </w:t>
      </w:r>
      <w:r>
        <w:t>as long as no prohibited changes are made</w:t>
      </w:r>
      <w:r w:rsidRPr="007B7912">
        <w:t>.</w:t>
      </w:r>
      <w:r>
        <w:t xml:space="preserve"> </w:t>
      </w:r>
      <w:r w:rsidRPr="007B7912">
        <w:t>Once a plan relinquishes grandfathered status, it cannot be regained</w:t>
      </w:r>
      <w:r w:rsidR="00025C37">
        <w:t>,</w:t>
      </w:r>
      <w:r w:rsidRPr="007B7912">
        <w:t xml:space="preserve"> and the plan must comply with additional reforms under the ACA.</w:t>
      </w:r>
    </w:p>
    <w:p w:rsidR="00D97B64" w:rsidP="00FD4D62" w14:paraId="646DD63A" w14:textId="3C20A277">
      <w:pPr>
        <w:pStyle w:val="BodyText"/>
      </w:pPr>
      <w:r>
        <w:t xml:space="preserve">On Dec. 11, 2020, the </w:t>
      </w:r>
      <w:r w:rsidRPr="000F7A78">
        <w:t>Departments of Labor</w:t>
      </w:r>
      <w:r>
        <w:t xml:space="preserve"> (DOL)</w:t>
      </w:r>
      <w:r w:rsidRPr="000F7A78">
        <w:t xml:space="preserve">, </w:t>
      </w:r>
      <w:r>
        <w:t>HHS</w:t>
      </w:r>
      <w:r w:rsidRPr="000F7A78">
        <w:t xml:space="preserve"> and Treasury</w:t>
      </w:r>
      <w:r>
        <w:t xml:space="preserve"> (Departments)</w:t>
      </w:r>
      <w:r w:rsidRPr="000F7A78">
        <w:t xml:space="preserve"> announced a </w:t>
      </w:r>
      <w:hyperlink r:id="rId10" w:history="1">
        <w:r w:rsidRPr="00165E9B">
          <w:rPr>
            <w:rStyle w:val="Hyperlink"/>
          </w:rPr>
          <w:t>final rule</w:t>
        </w:r>
      </w:hyperlink>
      <w:r>
        <w:t xml:space="preserve"> that provides greater flexibility for grandfathered plans.</w:t>
      </w:r>
    </w:p>
    <w:p w:rsidR="00D97B64" w:rsidP="00D97B64" w14:paraId="6D89C963" w14:textId="3C9E6923">
      <w:pPr>
        <w:pStyle w:val="Bullet"/>
      </w:pPr>
      <w:r>
        <w:t xml:space="preserve">First, </w:t>
      </w:r>
      <w:r w:rsidRPr="00165E9B">
        <w:t>the rule cl</w:t>
      </w:r>
      <w:r w:rsidRPr="00B63384">
        <w:t>arifie</w:t>
      </w:r>
      <w:r w:rsidRPr="00165E9B">
        <w:t xml:space="preserve">s that grandfathered high deductible health plan (HDHP) </w:t>
      </w:r>
      <w:r>
        <w:t xml:space="preserve">coverage </w:t>
      </w:r>
      <w:r w:rsidRPr="00165E9B">
        <w:t xml:space="preserve">may </w:t>
      </w:r>
      <w:r w:rsidRPr="00165E9B">
        <w:rPr>
          <w:b/>
        </w:rPr>
        <w:t>increase fixed-amount cost-sharing requirements, such as deductibles, to the extent necessary to maintain its status as an HDHP</w:t>
      </w:r>
      <w:r w:rsidRPr="00165E9B">
        <w:t xml:space="preserve"> without losing grandfather status.</w:t>
      </w:r>
      <w:r w:rsidRPr="00D97B64">
        <w:t xml:space="preserve"> </w:t>
      </w:r>
      <w:r w:rsidRPr="00165E9B">
        <w:t>This</w:t>
      </w:r>
      <w:r>
        <w:t xml:space="preserve"> provision</w:t>
      </w:r>
      <w:r w:rsidRPr="00165E9B">
        <w:t xml:space="preserve"> </w:t>
      </w:r>
      <w:r>
        <w:t>is intended to</w:t>
      </w:r>
      <w:r w:rsidRPr="00165E9B">
        <w:t xml:space="preserve"> ensure that participants and beneficiaries enrolled in that coverage remain eligible to contribute to a health savings account</w:t>
      </w:r>
      <w:r>
        <w:t xml:space="preserve"> (HSA)</w:t>
      </w:r>
      <w:r w:rsidRPr="00165E9B">
        <w:t>.</w:t>
      </w:r>
    </w:p>
    <w:p w:rsidR="00D97B64" w:rsidRPr="00FD4D62" w:rsidP="00D97B64" w14:paraId="2D000955" w14:textId="3F3FC8E7">
      <w:pPr>
        <w:pStyle w:val="Bullet"/>
      </w:pPr>
      <w:r w:rsidRPr="00165E9B">
        <w:t xml:space="preserve">Second, the final rule provides an </w:t>
      </w:r>
      <w:r w:rsidRPr="00D97B64">
        <w:rPr>
          <w:b/>
        </w:rPr>
        <w:t>alternative method of measuring permitted increases in fixed-amount cost</w:t>
      </w:r>
      <w:r w:rsidR="00025C37">
        <w:rPr>
          <w:b/>
        </w:rPr>
        <w:t xml:space="preserve"> </w:t>
      </w:r>
      <w:r w:rsidRPr="00D97B64">
        <w:rPr>
          <w:b/>
        </w:rPr>
        <w:t>sharing</w:t>
      </w:r>
      <w:r w:rsidRPr="00165E9B">
        <w:t xml:space="preserve"> that </w:t>
      </w:r>
      <w:r>
        <w:t xml:space="preserve">is intended to </w:t>
      </w:r>
      <w:r w:rsidRPr="00165E9B">
        <w:t>allow plans and issuers to better account for changes in the costs of health coverage over time.</w:t>
      </w:r>
    </w:p>
    <w:p w:rsidR="00FD4D62" w:rsidP="00FD4D62" w14:paraId="35E52132" w14:textId="7C2AA589">
      <w:pPr>
        <w:pStyle w:val="BodyText"/>
      </w:pPr>
      <w:r w:rsidRPr="00FE5E93">
        <w:t xml:space="preserve">Contact </w:t>
      </w:r>
      <w:r w:rsidRPr="00FE5E93">
        <w:t>Foundation Risk Partners</w:t>
      </w:r>
      <w:r w:rsidRPr="00FE5E93">
        <w:t xml:space="preserve"> if you have questions about changes you have made or are considering making to your plan.</w:t>
      </w:r>
    </w:p>
    <w:p w:rsidR="00FD4D62" w:rsidP="00FD4D62" w14:paraId="3237457E" w14:textId="77777777">
      <w:pPr>
        <w:pStyle w:val="BodyText"/>
      </w:pPr>
      <w:r>
        <w:rPr>
          <w:noProof/>
        </w:rPr>
        <mc:AlternateContent>
          <mc:Choice Requires="wps">
            <w:drawing>
              <wp:inline distT="0" distB="0" distL="0" distR="0">
                <wp:extent cx="6824621" cy="2234317"/>
                <wp:effectExtent l="19050" t="19050" r="14605" b="13970"/>
                <wp:docPr id="48" name="Text Box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4621" cy="2234317"/>
                        </a:xfrm>
                        <a:prstGeom prst="rect">
                          <a:avLst/>
                        </a:prstGeom>
                        <a:solidFill>
                          <a:srgbClr val="F2F2F2"/>
                        </a:solidFill>
                        <a:ln w="28575">
                          <a:solidFill>
                            <a:srgbClr val="CE2C43"/>
                          </a:solidFill>
                          <a:miter lim="800000"/>
                          <a:headEnd/>
                          <a:tailEnd/>
                        </a:ln>
                      </wps:spPr>
                      <wps:txbx>
                        <w:txbxContent>
                          <w:p w:rsidR="00FD4D62" w:rsidRPr="00763EB7" w:rsidP="00FD4D62" w14:textId="77777777">
                            <w:pPr>
                              <w:pStyle w:val="T-Subheading"/>
                              <w:rPr>
                                <w:color w:val="CE2C43"/>
                              </w:rPr>
                            </w:pPr>
                            <w:r w:rsidRPr="00763EB7">
                              <w:rPr>
                                <w:color w:val="CE2C43"/>
                              </w:rPr>
                              <w:t>Review your plan’s grandfathered status:</w:t>
                            </w:r>
                          </w:p>
                          <w:p w:rsidR="00FD4D62" w:rsidP="00FD4D62" w14:textId="571FCBAC">
                            <w:pPr>
                              <w:pStyle w:val="T-BulletList"/>
                            </w:pPr>
                            <w:r w:rsidRPr="005835BA">
                              <w:t xml:space="preserve">If you </w:t>
                            </w:r>
                            <w:r w:rsidRPr="00603905">
                              <w:t xml:space="preserve">have a grandfathered plan, </w:t>
                            </w:r>
                            <w:r w:rsidRPr="005835BA">
                              <w:t>determine whether it will maintain its g</w:t>
                            </w:r>
                            <w:r>
                              <w:t>randfathered status for the 202</w:t>
                            </w:r>
                            <w:r w:rsidR="00D97B64">
                              <w:t>2</w:t>
                            </w:r>
                            <w:r w:rsidRPr="005835BA">
                              <w:t xml:space="preserve"> plan year. Grandfathered plans are exempt from</w:t>
                            </w:r>
                            <w:r>
                              <w:t xml:space="preserve"> some of the ACA’s mandates. </w:t>
                            </w:r>
                            <w:r w:rsidRPr="005835BA">
                              <w:t>A grandfathered plan’s status will affect its c</w:t>
                            </w:r>
                            <w:r>
                              <w:t>ompliance obligations from year to year.</w:t>
                            </w:r>
                          </w:p>
                          <w:p w:rsidR="00FD4D62" w:rsidP="00FD4D62" w14:textId="0CAAC2D1">
                            <w:pPr>
                              <w:pStyle w:val="T-BulletList"/>
                            </w:pPr>
                            <w:r w:rsidRPr="006C0A04">
                              <w:t>If you</w:t>
                            </w:r>
                            <w:r>
                              <w:t>r plan will lose its grandfathered status for 202</w:t>
                            </w:r>
                            <w:r w:rsidR="00D97B64">
                              <w:t>2</w:t>
                            </w:r>
                            <w:r>
                              <w:t xml:space="preserve">, </w:t>
                            </w:r>
                            <w:r w:rsidRPr="006C0A04">
                              <w:t xml:space="preserve">confirm that the plan has all of the additional patient rights and benefits required by </w:t>
                            </w:r>
                            <w:r>
                              <w:t xml:space="preserve">the </w:t>
                            </w:r>
                            <w:r w:rsidRPr="006C0A04">
                              <w:t>ACA</w:t>
                            </w:r>
                            <w:r>
                              <w:t xml:space="preserve"> for non-grandfathered plans</w:t>
                            </w:r>
                            <w:r w:rsidRPr="006C0A04">
                              <w:t>. This includes, for example, coverage of preventive care wit</w:t>
                            </w:r>
                            <w:r>
                              <w:t>hout cost-sharing requirements.</w:t>
                            </w:r>
                          </w:p>
                          <w:p w:rsidR="00FD4D62" w:rsidP="00FD4D62" w14:textId="77777777">
                            <w:pPr>
                              <w:pStyle w:val="T-BulletList"/>
                            </w:pPr>
                            <w:r>
                              <w:t xml:space="preserve">If your plan will keep its grandfathered status, continue to provide the Notice of Grandfathered Status in any plan materials provided to participants and beneficiaries that describe the benefits provided under the plan (such as the plan’s summary plan description and open enrollment materials). </w:t>
                            </w:r>
                            <w:hyperlink r:id="rId11" w:history="1">
                              <w:r w:rsidRPr="00526E94">
                                <w:rPr>
                                  <w:rStyle w:val="Hyperlink"/>
                                  <w:bCs/>
                                  <w:szCs w:val="18"/>
                                </w:rPr>
                                <w:t>Model language</w:t>
                              </w:r>
                            </w:hyperlink>
                            <w:r>
                              <w:t xml:space="preserve"> is available.</w:t>
                            </w:r>
                          </w:p>
                        </w:txbxContent>
                      </wps:txbx>
                      <wps:bodyPr rot="0" vert="horz" wrap="square" lIns="91440" tIns="45720" rIns="91440" bIns="45720" anchor="t" anchorCtr="0" upright="1"/>
                    </wps:wsp>
                  </a:graphicData>
                </a:graphic>
              </wp:inline>
            </w:drawing>
          </mc:Choice>
          <mc:Fallback>
            <w:pict>
              <v:shape id="Text Box 48" o:spid="_x0000_i1037" type="#_x0000_t202" style="width:537.37pt;height:175.93pt;mso-wrap-distance-bottom:0;mso-wrap-distance-left:0;mso-wrap-distance-right:0;mso-wrap-distance-top:0;v-text-anchor:top" fillcolor="#f2f2f2" stroked="t" strokecolor="#ce2c43" strokeweight="2.25pt">
                <v:textbox>
                  <w:txbxContent>
                    <w:p w:rsidR="00FD4D62" w:rsidRPr="00763EB7" w:rsidP="00FD4D62" w14:paraId="3968322A" w14:textId="77777777">
                      <w:pPr>
                        <w:pStyle w:val="T-Subheading"/>
                        <w:rPr>
                          <w:color w:val="CE2C43"/>
                        </w:rPr>
                      </w:pPr>
                      <w:r w:rsidRPr="00763EB7">
                        <w:rPr>
                          <w:color w:val="CE2C43"/>
                        </w:rPr>
                        <w:t>Review your plan’s grandfathered status:</w:t>
                      </w:r>
                    </w:p>
                    <w:p w:rsidR="00FD4D62" w:rsidP="00FD4D62" w14:paraId="6D594C8C" w14:textId="571FCBAC">
                      <w:pPr>
                        <w:pStyle w:val="T-BulletList"/>
                      </w:pPr>
                      <w:r w:rsidRPr="005835BA">
                        <w:t xml:space="preserve">If you </w:t>
                      </w:r>
                      <w:r w:rsidRPr="00603905">
                        <w:t xml:space="preserve">have a grandfathered plan, </w:t>
                      </w:r>
                      <w:r w:rsidRPr="005835BA">
                        <w:t>determine whether it will maintain its g</w:t>
                      </w:r>
                      <w:r>
                        <w:t>randfathered status for the 202</w:t>
                      </w:r>
                      <w:r w:rsidR="00D97B64">
                        <w:t>2</w:t>
                      </w:r>
                      <w:r w:rsidRPr="005835BA">
                        <w:t xml:space="preserve"> plan year. Grandfathered plans are exempt from</w:t>
                      </w:r>
                      <w:r>
                        <w:t xml:space="preserve"> some of the ACA’s mandates. </w:t>
                      </w:r>
                      <w:r w:rsidRPr="005835BA">
                        <w:t>A grandfathered plan’s status will affect its c</w:t>
                      </w:r>
                      <w:r>
                        <w:t>ompliance obligations from year to year.</w:t>
                      </w:r>
                    </w:p>
                    <w:p w:rsidR="00FD4D62" w:rsidP="00FD4D62" w14:paraId="15DA8827" w14:textId="0CAAC2D1">
                      <w:pPr>
                        <w:pStyle w:val="T-BulletList"/>
                      </w:pPr>
                      <w:r w:rsidRPr="006C0A04">
                        <w:t>If you</w:t>
                      </w:r>
                      <w:r>
                        <w:t>r plan will lose its grandfathered status for 202</w:t>
                      </w:r>
                      <w:r w:rsidR="00D97B64">
                        <w:t>2</w:t>
                      </w:r>
                      <w:r>
                        <w:t xml:space="preserve">, </w:t>
                      </w:r>
                      <w:r w:rsidRPr="006C0A04">
                        <w:t xml:space="preserve">confirm that the plan has all of the additional patient rights and benefits required by </w:t>
                      </w:r>
                      <w:r>
                        <w:t xml:space="preserve">the </w:t>
                      </w:r>
                      <w:r w:rsidRPr="006C0A04">
                        <w:t>ACA</w:t>
                      </w:r>
                      <w:r>
                        <w:t xml:space="preserve"> for non-grandfathered plans</w:t>
                      </w:r>
                      <w:r w:rsidRPr="006C0A04">
                        <w:t>. This includes, for example, coverage of preventive care wit</w:t>
                      </w:r>
                      <w:r>
                        <w:t>hout cost-sharing requirements.</w:t>
                      </w:r>
                    </w:p>
                    <w:p w:rsidR="00FD4D62" w:rsidP="00FD4D62" w14:paraId="7BA60C38" w14:textId="77777777">
                      <w:pPr>
                        <w:pStyle w:val="T-BulletList"/>
                      </w:pPr>
                      <w:r>
                        <w:t xml:space="preserve">If your plan will keep its grandfathered status, continue to provide the Notice of Grandfathered Status in any plan materials provided to participants and beneficiaries that describe the benefits provided under the plan (such as the plan’s summary plan description and open enrollment materials). </w:t>
                      </w:r>
                      <w:hyperlink r:id="rId11" w:history="1">
                        <w:r w:rsidRPr="00526E94">
                          <w:rPr>
                            <w:rStyle w:val="Hyperlink"/>
                            <w:bCs/>
                            <w:szCs w:val="18"/>
                          </w:rPr>
                          <w:t>Model language</w:t>
                        </w:r>
                      </w:hyperlink>
                      <w:r>
                        <w:t xml:space="preserve"> is available.</w:t>
                      </w:r>
                    </w:p>
                  </w:txbxContent>
                </v:textbox>
                <w10:anchorlock/>
              </v:shape>
            </w:pict>
          </mc:Fallback>
        </mc:AlternateContent>
      </w:r>
    </w:p>
    <w:p w:rsidR="00FD4D62" w:rsidRPr="003349D5" w:rsidP="00362823" w14:paraId="0D71D3CF" w14:textId="77777777">
      <w:pPr>
        <w:pStyle w:val="SectionedHeader"/>
      </w:pPr>
      <w:r w:rsidRPr="00D54FCD">
        <w:t>Cost-</w:t>
      </w:r>
      <w:r>
        <w:t>S</w:t>
      </w:r>
      <w:r w:rsidRPr="00D54FCD">
        <w:t>haring Limits</w:t>
      </w:r>
    </w:p>
    <w:p w:rsidR="00FD4D62" w:rsidRPr="009D7657" w:rsidP="00FD4D62" w14:paraId="62D7684A" w14:textId="451230AF">
      <w:pPr>
        <w:pStyle w:val="BodyText"/>
      </w:pPr>
      <w:r w:rsidRPr="007B7912">
        <w:t>Effective for plan years beginning on or after Jan. 1, 2014, non-grandfathered health plans are subject to limits on cost</w:t>
      </w:r>
      <w:r>
        <w:t xml:space="preserve"> </w:t>
      </w:r>
      <w:r w:rsidRPr="007B7912">
        <w:t xml:space="preserve">sharing for essential health benefits (EHB). The ACA’s overall annual limit </w:t>
      </w:r>
      <w:r>
        <w:t xml:space="preserve">on cost sharing </w:t>
      </w:r>
      <w:r w:rsidRPr="007B7912">
        <w:t>(</w:t>
      </w:r>
      <w:r>
        <w:t xml:space="preserve">also known as </w:t>
      </w:r>
      <w:r w:rsidRPr="007B7912">
        <w:t xml:space="preserve">an out-of-pocket maximum) applies for all non-grandfathered group health plans, </w:t>
      </w:r>
      <w:r>
        <w:t>whether</w:t>
      </w:r>
      <w:r w:rsidRPr="007B7912">
        <w:t xml:space="preserve"> </w:t>
      </w:r>
      <w:r>
        <w:t xml:space="preserve">insured or </w:t>
      </w:r>
      <w:r w:rsidRPr="007B7912">
        <w:t>self-insured.</w:t>
      </w:r>
      <w:r>
        <w:t xml:space="preserve"> </w:t>
      </w:r>
      <w:r w:rsidRPr="007B7912">
        <w:t>Under the ACA, a health plan’s out-of-pocket m</w:t>
      </w:r>
      <w:r>
        <w:t xml:space="preserve">aximum for EHB may not exceed </w:t>
      </w:r>
      <w:r w:rsidRPr="007B7912">
        <w:rPr>
          <w:b/>
        </w:rPr>
        <w:t>$</w:t>
      </w:r>
      <w:r>
        <w:rPr>
          <w:b/>
        </w:rPr>
        <w:t>8</w:t>
      </w:r>
      <w:r w:rsidRPr="007B7912">
        <w:rPr>
          <w:b/>
        </w:rPr>
        <w:t>,</w:t>
      </w:r>
      <w:r w:rsidR="00D97B64">
        <w:rPr>
          <w:b/>
        </w:rPr>
        <w:t>70</w:t>
      </w:r>
      <w:r w:rsidRPr="007B7912">
        <w:rPr>
          <w:b/>
        </w:rPr>
        <w:t>0</w:t>
      </w:r>
      <w:r w:rsidRPr="007B7912">
        <w:t xml:space="preserve"> for self-only coverage and </w:t>
      </w:r>
      <w:r>
        <w:rPr>
          <w:b/>
        </w:rPr>
        <w:t>$1</w:t>
      </w:r>
      <w:r w:rsidR="00810D1C">
        <w:rPr>
          <w:b/>
        </w:rPr>
        <w:t>7</w:t>
      </w:r>
      <w:r>
        <w:rPr>
          <w:b/>
        </w:rPr>
        <w:t>,</w:t>
      </w:r>
      <w:r w:rsidR="00D97B64">
        <w:rPr>
          <w:b/>
        </w:rPr>
        <w:t>4</w:t>
      </w:r>
      <w:r w:rsidRPr="007B7912">
        <w:rPr>
          <w:b/>
        </w:rPr>
        <w:t>00</w:t>
      </w:r>
      <w:r w:rsidRPr="007B7912">
        <w:t xml:space="preserve"> for family coverage, effective for plan years beginning on or after Jan. 1, 20</w:t>
      </w:r>
      <w:r>
        <w:t>2</w:t>
      </w:r>
      <w:r w:rsidR="00D97B64">
        <w:t>2</w:t>
      </w:r>
      <w:r w:rsidRPr="007B7912">
        <w:t>.</w:t>
      </w:r>
    </w:p>
    <w:p w:rsidR="00FD4D62" w:rsidP="00FD4D62" w14:paraId="7CC8D2A5" w14:textId="0B1D81E4">
      <w:pPr>
        <w:pStyle w:val="BodyText"/>
      </w:pPr>
      <w:r w:rsidRPr="007B7912">
        <w:t xml:space="preserve">Health plans with more than </w:t>
      </w:r>
      <w:r w:rsidRPr="009D7657">
        <w:t>one</w:t>
      </w:r>
      <w:r w:rsidRPr="007B7912">
        <w:t xml:space="preserve"> service provider may divide the out-of-pocket maximum across multiple categories of benefits rather than reconcil</w:t>
      </w:r>
      <w:r>
        <w:t>ing</w:t>
      </w:r>
      <w:r w:rsidRPr="007B7912">
        <w:t xml:space="preserve"> claims across multiple service providers. Thus, health plans and issuers may structure a benefit design using separate out-of-pocket maximums for EHB, provided that the combined amount does not exceed the annual out-of-pocket maximum limit for that year. For example, in 20</w:t>
      </w:r>
      <w:r>
        <w:t>2</w:t>
      </w:r>
      <w:r w:rsidR="00D97B64">
        <w:t>2</w:t>
      </w:r>
      <w:r w:rsidRPr="007B7912">
        <w:t>, a health plan’s self-only coverage may have an out-of-pocket maximum of $</w:t>
      </w:r>
      <w:r>
        <w:t>6</w:t>
      </w:r>
      <w:r w:rsidRPr="007B7912">
        <w:t>,000 for major medical coverage and $</w:t>
      </w:r>
      <w:r>
        <w:t>2</w:t>
      </w:r>
      <w:r w:rsidRPr="007B7912">
        <w:t>,</w:t>
      </w:r>
      <w:r w:rsidR="00D01795">
        <w:t>70</w:t>
      </w:r>
      <w:r w:rsidRPr="007B7912">
        <w:t>0 for pharmaceutical coverage, for a combined out-of-pocket maximum of $</w:t>
      </w:r>
      <w:r>
        <w:t>8,</w:t>
      </w:r>
      <w:r w:rsidR="00D01795">
        <w:t>70</w:t>
      </w:r>
      <w:r w:rsidRPr="007B7912">
        <w:t>0.</w:t>
      </w:r>
    </w:p>
    <w:p w:rsidR="00FD4D62" w:rsidP="00FD4D62" w14:paraId="3F45F622" w14:textId="77777777">
      <w:pPr>
        <w:pStyle w:val="BodyText"/>
      </w:pPr>
      <w:r>
        <w:t xml:space="preserve">Beginning with the 2016 plan year, </w:t>
      </w:r>
      <w:r w:rsidRPr="00DD03D3">
        <w:rPr>
          <w:b/>
        </w:rPr>
        <w:t>the self-only annual limit on cost</w:t>
      </w:r>
      <w:r>
        <w:rPr>
          <w:b/>
        </w:rPr>
        <w:t xml:space="preserve"> </w:t>
      </w:r>
      <w:r w:rsidRPr="00DD03D3">
        <w:rPr>
          <w:b/>
        </w:rPr>
        <w:t>sharing applies to each individual, regardless of whether the individual is enrolled in self-only coverage or family coverage</w:t>
      </w:r>
      <w:r>
        <w:t>. This embeds an individual out-of-pocket maximum in family coverage so that an individual’s cost sharing for essential health benefits cannot exceed the ACA’s out-of-pocket maximum for self-only coverage.</w:t>
      </w:r>
    </w:p>
    <w:p w:rsidR="00FD4D62" w:rsidP="00FD4D62" w14:paraId="7A00494B" w14:textId="060CCAE5">
      <w:pPr>
        <w:pStyle w:val="BodyText"/>
      </w:pPr>
      <w:r>
        <w:t xml:space="preserve">Note that the ACA’s cost-sharing limit is higher than the out-of-pocket maximum for high deductible health plans (HDHPs). In order for a health plan to qualify as an HDHP, the plan must comply with the lower out-of-pocket maximum limit for HDHPs. HHS provided </w:t>
      </w:r>
      <w:hyperlink r:id="rId12" w:history="1">
        <w:r w:rsidRPr="00DD03D3">
          <w:rPr>
            <w:rStyle w:val="Hyperlink"/>
          </w:rPr>
          <w:t>FAQ</w:t>
        </w:r>
      </w:hyperlink>
      <w:r>
        <w:t xml:space="preserve"> guidance on how this ACA rule affects HDHPs with family deductibles that are higher than the ACA’s cost-sharing limit for self-only coverage.</w:t>
      </w:r>
    </w:p>
    <w:p w:rsidR="00FD4D62" w:rsidP="00FD4D62" w14:paraId="7808C55E" w14:textId="33D0561C">
      <w:pPr>
        <w:pStyle w:val="BodyText"/>
      </w:pPr>
      <w:r>
        <w:t>According to HHS, an HDHP that has a $10,000 family deductible must apply the annual limitation on cost sharing for self-only coverage ($8,</w:t>
      </w:r>
      <w:r w:rsidR="00D01795">
        <w:t>70</w:t>
      </w:r>
      <w:r>
        <w:t>0 in 202</w:t>
      </w:r>
      <w:r w:rsidR="00D01795">
        <w:t>2</w:t>
      </w:r>
      <w:r>
        <w:t>) to each individual in the plan, even if this amount is below the $10,000 family deductible limit. Because the $8,</w:t>
      </w:r>
      <w:r w:rsidR="00D01795">
        <w:t>70</w:t>
      </w:r>
      <w:r>
        <w:t>0 self-only maximum limitation on cost sharing exceeds the 202</w:t>
      </w:r>
      <w:r w:rsidR="00D01795">
        <w:t>2</w:t>
      </w:r>
      <w:r>
        <w:t xml:space="preserve"> minimum annual deductible amount for HDHPs ($2,800), it will not cause a plan to fail to satisfy the requirements for a family HDHP.</w:t>
      </w:r>
    </w:p>
    <w:p w:rsidR="00FD4D62" w:rsidRPr="00D54FCD" w:rsidP="00763EB7" w14:paraId="0388A28F" w14:textId="77777777">
      <w:pPr>
        <w:pStyle w:val="BodyText"/>
      </w:pPr>
      <w:r>
        <w:rPr>
          <w:noProof/>
        </w:rPr>
        <mc:AlternateContent>
          <mc:Choice Requires="wps">
            <w:drawing>
              <wp:inline distT="0" distB="0" distL="0" distR="0">
                <wp:extent cx="6824621" cy="2488759"/>
                <wp:effectExtent l="19050" t="19050" r="14605" b="26035"/>
                <wp:docPr id="49" name="Text Box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4621" cy="2488759"/>
                        </a:xfrm>
                        <a:prstGeom prst="rect">
                          <a:avLst/>
                        </a:prstGeom>
                        <a:solidFill>
                          <a:srgbClr val="F2F2F2"/>
                        </a:solidFill>
                        <a:ln w="28575">
                          <a:solidFill>
                            <a:srgbClr val="CE2C43"/>
                          </a:solidFill>
                          <a:miter lim="800000"/>
                          <a:headEnd/>
                          <a:tailEnd/>
                        </a:ln>
                      </wps:spPr>
                      <wps:txbx>
                        <w:txbxContent>
                          <w:p w:rsidR="00763EB7" w:rsidRPr="00763EB7" w:rsidP="00763EB7" w14:textId="77777777">
                            <w:pPr>
                              <w:pStyle w:val="T-Subheading"/>
                              <w:rPr>
                                <w:color w:val="CE2C43"/>
                              </w:rPr>
                            </w:pPr>
                            <w:r>
                              <w:rPr>
                                <w:color w:val="CE2C43"/>
                              </w:rPr>
                              <w:t>Check</w:t>
                            </w:r>
                            <w:r w:rsidRPr="00763EB7">
                              <w:rPr>
                                <w:color w:val="CE2C43"/>
                              </w:rPr>
                              <w:t xml:space="preserve"> your plan’s </w:t>
                            </w:r>
                            <w:r>
                              <w:rPr>
                                <w:color w:val="CE2C43"/>
                              </w:rPr>
                              <w:t>cost-sharing limits</w:t>
                            </w:r>
                            <w:r w:rsidRPr="00763EB7">
                              <w:rPr>
                                <w:color w:val="CE2C43"/>
                              </w:rPr>
                              <w:t>:</w:t>
                            </w:r>
                          </w:p>
                          <w:p w:rsidR="00763EB7" w:rsidP="00763EB7" w14:textId="41C8ECDA">
                            <w:pPr>
                              <w:pStyle w:val="T-BulletList"/>
                            </w:pPr>
                            <w:r>
                              <w:t>Review your plan’s out-of-pocket maximum to make sure it complies with the ACA’s limits for the 202</w:t>
                            </w:r>
                            <w:r w:rsidR="00D01795">
                              <w:t>2</w:t>
                            </w:r>
                            <w:r>
                              <w:t xml:space="preserve"> plan year ($8,</w:t>
                            </w:r>
                            <w:r w:rsidR="00D01795">
                              <w:t>70</w:t>
                            </w:r>
                            <w:r>
                              <w:t>0 for self-only coverage and $1</w:t>
                            </w:r>
                            <w:r w:rsidR="00810D1C">
                              <w:t>7,</w:t>
                            </w:r>
                            <w:r w:rsidR="00D01795">
                              <w:t>4</w:t>
                            </w:r>
                            <w:r>
                              <w:t>00 for family coverage).</w:t>
                            </w:r>
                          </w:p>
                          <w:p w:rsidR="00763EB7" w:rsidP="00763EB7" w14:textId="54F8AB5C">
                            <w:pPr>
                              <w:pStyle w:val="T-BulletList"/>
                            </w:pPr>
                            <w:r>
                              <w:t>If you have an HSA-compatible HDHP, keep in mind that your plan’s out-of-pocket maximum must be lower than the ACA’s limit. For 202</w:t>
                            </w:r>
                            <w:r w:rsidR="00D01795">
                              <w:t>2</w:t>
                            </w:r>
                            <w:r>
                              <w:t xml:space="preserve">, the out-of-pocket maximum limit for HDHPs is </w:t>
                            </w:r>
                            <w:r>
                              <w:rPr>
                                <w:b/>
                              </w:rPr>
                              <w:t>$</w:t>
                            </w:r>
                            <w:r w:rsidR="00810D1C">
                              <w:rPr>
                                <w:b/>
                              </w:rPr>
                              <w:t>7</w:t>
                            </w:r>
                            <w:r>
                              <w:rPr>
                                <w:b/>
                              </w:rPr>
                              <w:t>,</w:t>
                            </w:r>
                            <w:r w:rsidR="00810D1C">
                              <w:rPr>
                                <w:b/>
                              </w:rPr>
                              <w:t>0</w:t>
                            </w:r>
                            <w:r w:rsidR="00D01795">
                              <w:rPr>
                                <w:b/>
                              </w:rPr>
                              <w:t>5</w:t>
                            </w:r>
                            <w:r w:rsidRPr="00B6222D">
                              <w:rPr>
                                <w:b/>
                              </w:rPr>
                              <w:t>0</w:t>
                            </w:r>
                            <w:r>
                              <w:t xml:space="preserve"> for self-only coverage and </w:t>
                            </w:r>
                            <w:r w:rsidRPr="00B6222D">
                              <w:rPr>
                                <w:b/>
                              </w:rPr>
                              <w:t>$1</w:t>
                            </w:r>
                            <w:r w:rsidR="00810D1C">
                              <w:rPr>
                                <w:b/>
                              </w:rPr>
                              <w:t>4</w:t>
                            </w:r>
                            <w:r w:rsidRPr="00B6222D">
                              <w:rPr>
                                <w:b/>
                              </w:rPr>
                              <w:t>,</w:t>
                            </w:r>
                            <w:r w:rsidR="00D01795">
                              <w:rPr>
                                <w:b/>
                              </w:rPr>
                              <w:t>1</w:t>
                            </w:r>
                            <w:r w:rsidRPr="00B6222D">
                              <w:rPr>
                                <w:b/>
                              </w:rPr>
                              <w:t>00</w:t>
                            </w:r>
                            <w:r>
                              <w:t xml:space="preserve"> for family coverage.</w:t>
                            </w:r>
                          </w:p>
                          <w:p w:rsidR="00763EB7" w:rsidP="00763EB7" w14:textId="199F9E5D">
                            <w:pPr>
                              <w:pStyle w:val="T-BulletList"/>
                            </w:pPr>
                            <w:r>
                              <w:t>If your plan uses multiple service providers to administer benefits, confirm that the plan will coordinate all claims for EHBs across the plan’s service providers, or will divide the out-of-pocket maximum across the categories of benefits, with a combined limit that does not exceed the maximum for 202</w:t>
                            </w:r>
                            <w:r w:rsidR="00D01795">
                              <w:t>2</w:t>
                            </w:r>
                            <w:r>
                              <w:t>.</w:t>
                            </w:r>
                          </w:p>
                          <w:p w:rsidR="00763EB7" w:rsidP="00763EB7" w14:textId="77777777">
                            <w:pPr>
                              <w:pStyle w:val="T-BulletList"/>
                            </w:pPr>
                            <w:r w:rsidRPr="00DD03D3">
                              <w:t>Confirm that the plan applies the self-only maximum to each individual in the plan, regardless of whether the individual is enrolled in self-only coverage or family coverage.</w:t>
                            </w:r>
                          </w:p>
                        </w:txbxContent>
                      </wps:txbx>
                      <wps:bodyPr rot="0" vert="horz" wrap="square" lIns="91440" tIns="45720" rIns="91440" bIns="45720" anchor="t" anchorCtr="0" upright="1"/>
                    </wps:wsp>
                  </a:graphicData>
                </a:graphic>
              </wp:inline>
            </w:drawing>
          </mc:Choice>
          <mc:Fallback>
            <w:pict>
              <v:shape id="Text Box 49" o:spid="_x0000_i1038" type="#_x0000_t202" style="width:537.37pt;height:195.97pt;mso-wrap-distance-bottom:0;mso-wrap-distance-left:0;mso-wrap-distance-right:0;mso-wrap-distance-top:0;v-text-anchor:top" fillcolor="#f2f2f2" stroked="t" strokecolor="#ce2c43" strokeweight="2.25pt">
                <v:textbox>
                  <w:txbxContent>
                    <w:p w:rsidR="00763EB7" w:rsidRPr="00763EB7" w:rsidP="00763EB7" w14:paraId="3B5456B6" w14:textId="77777777">
                      <w:pPr>
                        <w:pStyle w:val="T-Subheading"/>
                        <w:rPr>
                          <w:color w:val="CE2C43"/>
                        </w:rPr>
                      </w:pPr>
                      <w:r>
                        <w:rPr>
                          <w:color w:val="CE2C43"/>
                        </w:rPr>
                        <w:t>Check</w:t>
                      </w:r>
                      <w:r w:rsidRPr="00763EB7">
                        <w:rPr>
                          <w:color w:val="CE2C43"/>
                        </w:rPr>
                        <w:t xml:space="preserve"> your plan’s </w:t>
                      </w:r>
                      <w:r>
                        <w:rPr>
                          <w:color w:val="CE2C43"/>
                        </w:rPr>
                        <w:t>cost-sharing limits</w:t>
                      </w:r>
                      <w:r w:rsidRPr="00763EB7">
                        <w:rPr>
                          <w:color w:val="CE2C43"/>
                        </w:rPr>
                        <w:t>:</w:t>
                      </w:r>
                    </w:p>
                    <w:p w:rsidR="00763EB7" w:rsidP="00763EB7" w14:paraId="2D8F6813" w14:textId="41C8ECDA">
                      <w:pPr>
                        <w:pStyle w:val="T-BulletList"/>
                      </w:pPr>
                      <w:r>
                        <w:t>Review your plan’s out-of-pocket maximum to make sure it complies with the ACA’s limits for the 202</w:t>
                      </w:r>
                      <w:r w:rsidR="00D01795">
                        <w:t>2</w:t>
                      </w:r>
                      <w:r>
                        <w:t xml:space="preserve"> plan year ($8,</w:t>
                      </w:r>
                      <w:r w:rsidR="00D01795">
                        <w:t>70</w:t>
                      </w:r>
                      <w:r>
                        <w:t>0 for self-only coverage and $1</w:t>
                      </w:r>
                      <w:r w:rsidR="00810D1C">
                        <w:t>7,</w:t>
                      </w:r>
                      <w:r w:rsidR="00D01795">
                        <w:t>4</w:t>
                      </w:r>
                      <w:r>
                        <w:t>00 for family coverage).</w:t>
                      </w:r>
                    </w:p>
                    <w:p w:rsidR="00763EB7" w:rsidP="00763EB7" w14:paraId="71986037" w14:textId="54F8AB5C">
                      <w:pPr>
                        <w:pStyle w:val="T-BulletList"/>
                      </w:pPr>
                      <w:r>
                        <w:t>If you have an HSA-compatible HDHP, keep in mind that your plan’s out-of-pocket maximum must be lower than the ACA’s limit. For 202</w:t>
                      </w:r>
                      <w:r w:rsidR="00D01795">
                        <w:t>2</w:t>
                      </w:r>
                      <w:r>
                        <w:t xml:space="preserve">, the out-of-pocket maximum limit for HDHPs is </w:t>
                      </w:r>
                      <w:r>
                        <w:rPr>
                          <w:b/>
                        </w:rPr>
                        <w:t>$</w:t>
                      </w:r>
                      <w:r w:rsidR="00810D1C">
                        <w:rPr>
                          <w:b/>
                        </w:rPr>
                        <w:t>7</w:t>
                      </w:r>
                      <w:r>
                        <w:rPr>
                          <w:b/>
                        </w:rPr>
                        <w:t>,</w:t>
                      </w:r>
                      <w:r w:rsidR="00810D1C">
                        <w:rPr>
                          <w:b/>
                        </w:rPr>
                        <w:t>0</w:t>
                      </w:r>
                      <w:r w:rsidR="00D01795">
                        <w:rPr>
                          <w:b/>
                        </w:rPr>
                        <w:t>5</w:t>
                      </w:r>
                      <w:r w:rsidRPr="00B6222D">
                        <w:rPr>
                          <w:b/>
                        </w:rPr>
                        <w:t>0</w:t>
                      </w:r>
                      <w:r>
                        <w:t xml:space="preserve"> for self-only coverage and </w:t>
                      </w:r>
                      <w:r w:rsidRPr="00B6222D">
                        <w:rPr>
                          <w:b/>
                        </w:rPr>
                        <w:t>$1</w:t>
                      </w:r>
                      <w:r w:rsidR="00810D1C">
                        <w:rPr>
                          <w:b/>
                        </w:rPr>
                        <w:t>4</w:t>
                      </w:r>
                      <w:r w:rsidRPr="00B6222D">
                        <w:rPr>
                          <w:b/>
                        </w:rPr>
                        <w:t>,</w:t>
                      </w:r>
                      <w:r w:rsidR="00D01795">
                        <w:rPr>
                          <w:b/>
                        </w:rPr>
                        <w:t>1</w:t>
                      </w:r>
                      <w:r w:rsidRPr="00B6222D">
                        <w:rPr>
                          <w:b/>
                        </w:rPr>
                        <w:t>00</w:t>
                      </w:r>
                      <w:r>
                        <w:t xml:space="preserve"> for family coverage.</w:t>
                      </w:r>
                    </w:p>
                    <w:p w:rsidR="00763EB7" w:rsidP="00763EB7" w14:paraId="7DB00A79" w14:textId="199F9E5D">
                      <w:pPr>
                        <w:pStyle w:val="T-BulletList"/>
                      </w:pPr>
                      <w:r>
                        <w:t>If your plan uses multiple service providers to administer benefits, confirm that the plan will coordinate all claims for EHBs across the plan’s service providers, or will divide the out-of-pocket maximum across the categories of benefits, with a combined limit that does not exceed the maximum for 202</w:t>
                      </w:r>
                      <w:r w:rsidR="00D01795">
                        <w:t>2</w:t>
                      </w:r>
                      <w:r>
                        <w:t>.</w:t>
                      </w:r>
                    </w:p>
                    <w:p w:rsidR="00763EB7" w:rsidP="00763EB7" w14:paraId="658EC4C2" w14:textId="77777777">
                      <w:pPr>
                        <w:pStyle w:val="T-BulletList"/>
                      </w:pPr>
                      <w:r w:rsidRPr="00DD03D3">
                        <w:t>Confirm that the plan applies the self-only maximum to each individual in the plan, regardless of whether the individual is enrolled in self-only coverage or family coverage.</w:t>
                      </w:r>
                    </w:p>
                  </w:txbxContent>
                </v:textbox>
                <w10:anchorlock/>
              </v:shape>
            </w:pict>
          </mc:Fallback>
        </mc:AlternateContent>
      </w:r>
    </w:p>
    <w:p w:rsidR="00FD4D62" w:rsidRPr="00402B29" w:rsidP="00362823" w14:paraId="2BD101B8" w14:textId="77777777">
      <w:pPr>
        <w:pStyle w:val="SectionedHeader"/>
      </w:pPr>
      <w:r w:rsidRPr="00D54FCD">
        <w:t>Health FSA Contributions</w:t>
      </w:r>
    </w:p>
    <w:p w:rsidR="00FD4D62" w:rsidP="00FD4D62" w14:paraId="0C3BCB69" w14:textId="4B553BF7">
      <w:pPr>
        <w:pStyle w:val="BodyText"/>
      </w:pPr>
      <w:r>
        <w:t>F</w:t>
      </w:r>
      <w:r w:rsidRPr="00D54FCD">
        <w:t>or plan years beginning on or after Jan. 1, 2013, an employee’s annual pre-tax salary reduction contributions to a health FSA must be limited to $2,500</w:t>
      </w:r>
      <w:r>
        <w:t xml:space="preserve"> (as adjusted)</w:t>
      </w:r>
      <w:r w:rsidRPr="00D54FCD">
        <w:t>.</w:t>
      </w:r>
      <w:r>
        <w:t xml:space="preserve"> The $2,500 limit was increased to</w:t>
      </w:r>
      <w:r w:rsidR="00D01795">
        <w:t xml:space="preserve"> $2,750 for taxable years beginning in 2021. The health FSA limit </w:t>
      </w:r>
      <w:r w:rsidR="002B2244">
        <w:t>increase</w:t>
      </w:r>
      <w:r w:rsidR="00F11DBB">
        <w:t>d</w:t>
      </w:r>
      <w:r w:rsidR="002B2244">
        <w:t xml:space="preserve"> to $2,850 </w:t>
      </w:r>
      <w:r w:rsidR="00D01795">
        <w:t>for 2022.</w:t>
      </w:r>
    </w:p>
    <w:p w:rsidR="00FD4D62" w:rsidP="00FD4D62" w14:paraId="6AFD42FE" w14:textId="1E0CFE4D">
      <w:pPr>
        <w:pStyle w:val="BodyText"/>
      </w:pPr>
      <w:r w:rsidRPr="00D54FCD">
        <w:t xml:space="preserve">The </w:t>
      </w:r>
      <w:r>
        <w:t>l</w:t>
      </w:r>
      <w:r w:rsidRPr="00D54FCD">
        <w:t xml:space="preserve">imit does not apply to </w:t>
      </w:r>
      <w:r>
        <w:t xml:space="preserve">nonelective </w:t>
      </w:r>
      <w:r w:rsidRPr="00D54FCD">
        <w:t>employer contributions to the health FSA</w:t>
      </w:r>
      <w:r>
        <w:t xml:space="preserve"> (such as matching contributions or flex credits), though employer contributions that employees may elect to receive in cash or as a taxable benefit will count </w:t>
      </w:r>
      <w:r>
        <w:t>toward the limit. Other ACA requirements may impact or limit the total amount that may be contributed to a health FSA, but nonelective employer contributions generally do not reduce the health FSA limit for the employee. Additionally, the health FSA limit</w:t>
      </w:r>
      <w:r w:rsidRPr="00D54FCD">
        <w:t xml:space="preserve"> does not impact contributions under other employer-provided coverage. For example, employee salary reduction contributions to an FSA for dependent care or adoption care </w:t>
      </w:r>
      <w:r w:rsidRPr="00402B29">
        <w:t>assistance</w:t>
      </w:r>
      <w:r w:rsidRPr="00D54FCD">
        <w:t xml:space="preserve"> are not affected by the health FSA limit.</w:t>
      </w:r>
    </w:p>
    <w:p w:rsidR="00FD4D62" w:rsidP="007A1E50" w14:paraId="10FFE8D6" w14:textId="7CDE1217">
      <w:pPr>
        <w:pStyle w:val="BodyText"/>
      </w:pPr>
      <w:r>
        <w:rPr>
          <w:noProof/>
        </w:rPr>
        <mc:AlternateContent>
          <mc:Choice Requires="wps">
            <w:drawing>
              <wp:inline distT="0" distB="0" distL="0" distR="0">
                <wp:extent cx="6824621" cy="1121134"/>
                <wp:effectExtent l="19050" t="19050" r="14605" b="22225"/>
                <wp:docPr id="50" name="Text Box 5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4621" cy="1121134"/>
                        </a:xfrm>
                        <a:prstGeom prst="rect">
                          <a:avLst/>
                        </a:prstGeom>
                        <a:solidFill>
                          <a:srgbClr val="F2F2F2"/>
                        </a:solidFill>
                        <a:ln w="28575">
                          <a:solidFill>
                            <a:srgbClr val="CE2C43"/>
                          </a:solidFill>
                          <a:miter lim="800000"/>
                          <a:headEnd/>
                          <a:tailEnd/>
                        </a:ln>
                      </wps:spPr>
                      <wps:txbx>
                        <w:txbxContent>
                          <w:p w:rsidR="00763EB7" w:rsidRPr="00763EB7" w:rsidP="00763EB7" w14:textId="77777777">
                            <w:pPr>
                              <w:pStyle w:val="T-Subheading"/>
                              <w:rPr>
                                <w:color w:val="CE2C43"/>
                              </w:rPr>
                            </w:pPr>
                            <w:r>
                              <w:rPr>
                                <w:color w:val="CE2C43"/>
                              </w:rPr>
                              <w:t>Update your health FSA’s contribution limit</w:t>
                            </w:r>
                            <w:r w:rsidRPr="00763EB7">
                              <w:rPr>
                                <w:color w:val="CE2C43"/>
                              </w:rPr>
                              <w:t>:</w:t>
                            </w:r>
                          </w:p>
                          <w:p w:rsidR="00763EB7" w:rsidP="00763EB7" w14:textId="3A4E50C8">
                            <w:pPr>
                              <w:pStyle w:val="T-BulletList"/>
                            </w:pPr>
                            <w:r>
                              <w:t>C</w:t>
                            </w:r>
                            <w:r>
                              <w:t xml:space="preserve">onfirm that your health FSA will not allow employees to make pre-tax contributions in excess of </w:t>
                            </w:r>
                            <w:r>
                              <w:t>$2,850</w:t>
                            </w:r>
                            <w:r>
                              <w:t xml:space="preserve"> for the 202</w:t>
                            </w:r>
                            <w:r w:rsidR="00D01795">
                              <w:t>2</w:t>
                            </w:r>
                            <w:r>
                              <w:t xml:space="preserve"> plan year.</w:t>
                            </w:r>
                          </w:p>
                          <w:p w:rsidR="00763EB7" w:rsidP="00763EB7" w14:textId="77777777">
                            <w:pPr>
                              <w:pStyle w:val="T-BulletList"/>
                            </w:pPr>
                            <w:r>
                              <w:t>Communicate the health FSA limit to employees as part of the open enrollment process.</w:t>
                            </w:r>
                          </w:p>
                        </w:txbxContent>
                      </wps:txbx>
                      <wps:bodyPr rot="0" vert="horz" wrap="square" lIns="91440" tIns="45720" rIns="91440" bIns="45720" anchor="t" anchorCtr="0" upright="1"/>
                    </wps:wsp>
                  </a:graphicData>
                </a:graphic>
              </wp:inline>
            </w:drawing>
          </mc:Choice>
          <mc:Fallback>
            <w:pict>
              <v:shape id="Text Box 50" o:spid="_x0000_i1039" type="#_x0000_t202" style="width:537.37pt;height:88.28pt;mso-wrap-distance-bottom:0;mso-wrap-distance-left:0;mso-wrap-distance-right:0;mso-wrap-distance-top:0;v-text-anchor:top" fillcolor="#f2f2f2" stroked="t" strokecolor="#ce2c43" strokeweight="2.25pt">
                <v:textbox>
                  <w:txbxContent>
                    <w:p w:rsidR="00763EB7" w:rsidRPr="00763EB7" w:rsidP="00763EB7" w14:paraId="138C0510" w14:textId="77777777">
                      <w:pPr>
                        <w:pStyle w:val="T-Subheading"/>
                        <w:rPr>
                          <w:color w:val="CE2C43"/>
                        </w:rPr>
                      </w:pPr>
                      <w:r>
                        <w:rPr>
                          <w:color w:val="CE2C43"/>
                        </w:rPr>
                        <w:t>Update your health FSA’s contribution limit</w:t>
                      </w:r>
                      <w:r w:rsidRPr="00763EB7">
                        <w:rPr>
                          <w:color w:val="CE2C43"/>
                        </w:rPr>
                        <w:t>:</w:t>
                      </w:r>
                    </w:p>
                    <w:p w:rsidR="00763EB7" w:rsidP="00763EB7" w14:paraId="24C1FE54" w14:textId="3A4E50C8">
                      <w:pPr>
                        <w:pStyle w:val="T-BulletList"/>
                      </w:pPr>
                      <w:r>
                        <w:t>C</w:t>
                      </w:r>
                      <w:r>
                        <w:t xml:space="preserve">onfirm that your health FSA will not allow employees to make pre-tax contributions in excess of </w:t>
                      </w:r>
                      <w:r>
                        <w:t>$2,850</w:t>
                      </w:r>
                      <w:r>
                        <w:t xml:space="preserve"> for the 202</w:t>
                      </w:r>
                      <w:r w:rsidR="00D01795">
                        <w:t>2</w:t>
                      </w:r>
                      <w:r>
                        <w:t xml:space="preserve"> plan year.</w:t>
                      </w:r>
                    </w:p>
                    <w:p w:rsidR="00763EB7" w:rsidP="00763EB7" w14:paraId="4C7EC464" w14:textId="77777777">
                      <w:pPr>
                        <w:pStyle w:val="T-BulletList"/>
                      </w:pPr>
                      <w:r>
                        <w:t>Communicate the health FSA limit to employees as part of the open enrollment process.</w:t>
                      </w:r>
                    </w:p>
                  </w:txbxContent>
                </v:textbox>
                <w10:anchorlock/>
              </v:shape>
            </w:pict>
          </mc:Fallback>
        </mc:AlternateContent>
      </w:r>
    </w:p>
    <w:p w:rsidR="00362823" w:rsidP="00362823" w14:paraId="6E690911" w14:textId="77777777">
      <w:pPr>
        <w:pStyle w:val="BodyText"/>
        <w:spacing w:after="0"/>
      </w:pPr>
    </w:p>
    <w:tbl>
      <w:tblPr>
        <w:tblW w:w="10800" w:type="dxa"/>
        <w:shd w:val="clear" w:color="auto" w:fill="BC5D58"/>
        <w:tblLook w:val="04A0"/>
      </w:tblPr>
      <w:tblGrid>
        <w:gridCol w:w="10800"/>
      </w:tblGrid>
      <w:tr w14:paraId="0024DF80" w14:textId="77777777" w:rsidTr="0064368E">
        <w:tblPrEx>
          <w:tblW w:w="10800" w:type="dxa"/>
          <w:shd w:val="clear" w:color="auto" w:fill="BC5D58"/>
          <w:tblLook w:val="04A0"/>
        </w:tblPrEx>
        <w:tc>
          <w:tcPr>
            <w:tcW w:w="10800" w:type="dxa"/>
            <w:shd w:val="clear" w:color="auto" w:fill="CE2C43"/>
          </w:tcPr>
          <w:p w:rsidR="00763EB7" w:rsidP="0064368E" w14:paraId="44941636" w14:textId="73849820">
            <w:pPr>
              <w:pStyle w:val="TableHeader"/>
            </w:pPr>
            <w:r>
              <w:t>Summary of Benefits and Coverage</w:t>
            </w:r>
          </w:p>
        </w:tc>
      </w:tr>
    </w:tbl>
    <w:p w:rsidR="00FD4D62" w:rsidRPr="009D7657" w:rsidP="00FD4D62" w14:paraId="219EE8B9" w14:textId="323BEA36">
      <w:pPr>
        <w:pStyle w:val="BodyText"/>
      </w:pPr>
      <w:r>
        <w:t>H</w:t>
      </w:r>
      <w:r w:rsidRPr="009926FB">
        <w:t xml:space="preserve">ealth plans and health insurance issuers </w:t>
      </w:r>
      <w:r>
        <w:t>must</w:t>
      </w:r>
      <w:r w:rsidRPr="009926FB">
        <w:t xml:space="preserve"> provide </w:t>
      </w:r>
      <w:r w:rsidR="00025C37">
        <w:t>a</w:t>
      </w:r>
      <w:r w:rsidRPr="009926FB" w:rsidR="00025C37">
        <w:t xml:space="preserve"> </w:t>
      </w:r>
      <w:r w:rsidR="00025C37">
        <w:t>summary of benefits and coverage</w:t>
      </w:r>
      <w:r w:rsidR="00025C37">
        <w:rPr>
          <w:b/>
        </w:rPr>
        <w:t xml:space="preserve"> (</w:t>
      </w:r>
      <w:r>
        <w:rPr>
          <w:b/>
        </w:rPr>
        <w:t>SBC</w:t>
      </w:r>
      <w:r w:rsidR="00025C37">
        <w:rPr>
          <w:b/>
        </w:rPr>
        <w:t>)</w:t>
      </w:r>
      <w:r w:rsidRPr="009926FB">
        <w:t xml:space="preserve"> to applicants and enrollees to help them understand their coverage and make coverage decisions. Plans and issuers must provide the SBC to participants and beneficiaries who enroll or reenroll during an open enrollment period</w:t>
      </w:r>
      <w:r>
        <w:t>, as well as</w:t>
      </w:r>
      <w:r w:rsidRPr="009926FB">
        <w:t xml:space="preserve"> to participants and beneficiaries who enroll other than through an open enrollment period (including individuals who are newly eligible for coverage and special enrollees).</w:t>
      </w:r>
    </w:p>
    <w:p w:rsidR="00810D1C" w:rsidP="00FD4D62" w14:paraId="6852D606" w14:textId="2858278C">
      <w:pPr>
        <w:pStyle w:val="BodyText"/>
      </w:pPr>
      <w:r w:rsidRPr="004300AF">
        <w:t xml:space="preserve">The SBC must follow strict formatting requirements. The Departments </w:t>
      </w:r>
      <w:r w:rsidRPr="00990E27" w:rsidR="00990E27">
        <w:t xml:space="preserve">of Health and Human Services, Labor and the Treasury </w:t>
      </w:r>
      <w:r w:rsidR="00990E27">
        <w:t xml:space="preserve">(Departments) </w:t>
      </w:r>
      <w:r w:rsidRPr="004300AF">
        <w:t>provided templates and related materials, including instructions and a uniform glossary of coverage terms, for use by plans and issuers.</w:t>
      </w:r>
      <w:r>
        <w:t xml:space="preserve"> </w:t>
      </w:r>
      <w:r>
        <w:t xml:space="preserve">On Nov. 8, 2019, the Departments issued an </w:t>
      </w:r>
      <w:hyperlink r:id="rId13" w:anchor="Summary%20of%20Benefits%20and%20Coverage%20and%20Uniform%20Glossary" w:history="1">
        <w:r w:rsidRPr="00A64420">
          <w:rPr>
            <w:rStyle w:val="Hyperlink"/>
          </w:rPr>
          <w:t>updated template and related materials</w:t>
        </w:r>
      </w:hyperlink>
      <w:r>
        <w:t xml:space="preserve"> for the SBC. These materials are required to be used for plan years beginning on or after Jan. 1, 2021. </w:t>
      </w:r>
      <w:r w:rsidRPr="007A1E50">
        <w:t>This means that the updated template must be used for the 202</w:t>
      </w:r>
      <w:r w:rsidRPr="007A1E50" w:rsidR="007A1E50">
        <w:t>2</w:t>
      </w:r>
      <w:r w:rsidRPr="007A1E50">
        <w:t xml:space="preserve"> plan year’s open enrollment period.</w:t>
      </w:r>
    </w:p>
    <w:p w:rsidR="00FD4D62" w:rsidP="00F42E21" w14:paraId="799633C0" w14:textId="1CD2E868">
      <w:pPr>
        <w:pStyle w:val="BodyText"/>
      </w:pPr>
      <w:r>
        <w:rPr>
          <w:noProof/>
        </w:rPr>
        <mc:AlternateContent>
          <mc:Choice Requires="wps">
            <w:drawing>
              <wp:inline distT="0" distB="0" distL="0" distR="0">
                <wp:extent cx="6824621" cy="1407381"/>
                <wp:effectExtent l="19050" t="19050" r="14605" b="21590"/>
                <wp:docPr id="51" name="Text Box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4621" cy="1407381"/>
                        </a:xfrm>
                        <a:prstGeom prst="rect">
                          <a:avLst/>
                        </a:prstGeom>
                        <a:solidFill>
                          <a:srgbClr val="F2F2F2"/>
                        </a:solidFill>
                        <a:ln w="28575">
                          <a:solidFill>
                            <a:srgbClr val="CE2C43"/>
                          </a:solidFill>
                          <a:miter lim="800000"/>
                          <a:headEnd/>
                          <a:tailEnd/>
                        </a:ln>
                      </wps:spPr>
                      <wps:txbx>
                        <w:txbxContent>
                          <w:p w:rsidR="00763EB7" w:rsidRPr="00763EB7" w:rsidP="00763EB7" w14:textId="77777777">
                            <w:pPr>
                              <w:pStyle w:val="T-Subheading"/>
                              <w:rPr>
                                <w:color w:val="CE2C43"/>
                              </w:rPr>
                            </w:pPr>
                            <w:r>
                              <w:rPr>
                                <w:color w:val="CE2C43"/>
                              </w:rPr>
                              <w:t>Provide the appropriate SBC template</w:t>
                            </w:r>
                            <w:r w:rsidRPr="00763EB7">
                              <w:rPr>
                                <w:color w:val="CE2C43"/>
                              </w:rPr>
                              <w:t>:</w:t>
                            </w:r>
                          </w:p>
                          <w:p w:rsidR="00F42E21" w:rsidP="00763EB7" w14:textId="77777777">
                            <w:pPr>
                              <w:pStyle w:val="T-BulletList"/>
                            </w:pPr>
                            <w:r w:rsidRPr="00736C77">
                              <w:t>For self-funded plans, the plan administrator is res</w:t>
                            </w:r>
                            <w:r>
                              <w:t>ponsible for creating and providing the SBC.</w:t>
                            </w:r>
                          </w:p>
                          <w:p w:rsidR="00763EB7" w:rsidP="00763EB7" w14:textId="1B8B04B1">
                            <w:pPr>
                              <w:pStyle w:val="T-BulletList"/>
                            </w:pPr>
                            <w:r w:rsidRPr="00736C77">
                              <w:t>For insured plans,</w:t>
                            </w:r>
                            <w:r>
                              <w:t xml:space="preserve"> the issuer is required to provide the SBC to the plan sponsor. B</w:t>
                            </w:r>
                            <w:r w:rsidRPr="00736C77">
                              <w:t xml:space="preserve">oth the plan and the issuer are obligated to provide the SBC, although this obligation is satisfied for both parties </w:t>
                            </w:r>
                            <w:r>
                              <w:t>if either one provides the SBC. I</w:t>
                            </w:r>
                            <w:r w:rsidRPr="00736C77">
                              <w:t xml:space="preserve">f you have an insured plan, confirm </w:t>
                            </w:r>
                            <w:r>
                              <w:t xml:space="preserve">whether </w:t>
                            </w:r>
                            <w:r w:rsidRPr="00736C77">
                              <w:t xml:space="preserve">your health insurance issuer will assume responsibility </w:t>
                            </w:r>
                            <w:r>
                              <w:t>for providing the SBCs.</w:t>
                            </w:r>
                          </w:p>
                        </w:txbxContent>
                      </wps:txbx>
                      <wps:bodyPr rot="0" vert="horz" wrap="square" lIns="91440" tIns="45720" rIns="91440" bIns="45720" anchor="t" anchorCtr="0" upright="1"/>
                    </wps:wsp>
                  </a:graphicData>
                </a:graphic>
              </wp:inline>
            </w:drawing>
          </mc:Choice>
          <mc:Fallback>
            <w:pict>
              <v:shape id="Text Box 51" o:spid="_x0000_i1040" type="#_x0000_t202" style="width:537.37pt;height:110.82pt;mso-wrap-distance-bottom:0;mso-wrap-distance-left:0;mso-wrap-distance-right:0;mso-wrap-distance-top:0;v-text-anchor:top" fillcolor="#f2f2f2" stroked="t" strokecolor="#ce2c43" strokeweight="2.25pt">
                <v:textbox>
                  <w:txbxContent>
                    <w:p w:rsidR="00763EB7" w:rsidRPr="00763EB7" w:rsidP="00763EB7" w14:paraId="798E9583" w14:textId="77777777">
                      <w:pPr>
                        <w:pStyle w:val="T-Subheading"/>
                        <w:rPr>
                          <w:color w:val="CE2C43"/>
                        </w:rPr>
                      </w:pPr>
                      <w:r>
                        <w:rPr>
                          <w:color w:val="CE2C43"/>
                        </w:rPr>
                        <w:t>Provide the appropriate SBC template</w:t>
                      </w:r>
                      <w:r w:rsidRPr="00763EB7">
                        <w:rPr>
                          <w:color w:val="CE2C43"/>
                        </w:rPr>
                        <w:t>:</w:t>
                      </w:r>
                    </w:p>
                    <w:p w:rsidR="00F42E21" w:rsidP="00763EB7" w14:paraId="6E0ABE4B" w14:textId="77777777">
                      <w:pPr>
                        <w:pStyle w:val="T-BulletList"/>
                      </w:pPr>
                      <w:r w:rsidRPr="00736C77">
                        <w:t>For self-funded plans, the plan administrator is res</w:t>
                      </w:r>
                      <w:r>
                        <w:t>ponsible for creating and providing the SBC.</w:t>
                      </w:r>
                    </w:p>
                    <w:p w:rsidR="00763EB7" w:rsidP="00763EB7" w14:paraId="2D333F41" w14:textId="1B8B04B1">
                      <w:pPr>
                        <w:pStyle w:val="T-BulletList"/>
                      </w:pPr>
                      <w:r w:rsidRPr="00736C77">
                        <w:t>For insured plans,</w:t>
                      </w:r>
                      <w:r>
                        <w:t xml:space="preserve"> the issuer is required to provide the SBC to the plan sponsor. B</w:t>
                      </w:r>
                      <w:r w:rsidRPr="00736C77">
                        <w:t xml:space="preserve">oth the plan and the issuer are obligated to provide the SBC, although this obligation is satisfied for both parties </w:t>
                      </w:r>
                      <w:r>
                        <w:t>if either one provides the SBC. I</w:t>
                      </w:r>
                      <w:r w:rsidRPr="00736C77">
                        <w:t xml:space="preserve">f you have an insured plan, confirm </w:t>
                      </w:r>
                      <w:r>
                        <w:t xml:space="preserve">whether </w:t>
                      </w:r>
                      <w:r w:rsidRPr="00736C77">
                        <w:t xml:space="preserve">your health insurance issuer will assume responsibility </w:t>
                      </w:r>
                      <w:r>
                        <w:t>for providing the SBCs.</w:t>
                      </w:r>
                    </w:p>
                  </w:txbxContent>
                </v:textbox>
                <w10:anchorlock/>
              </v:shape>
            </w:pict>
          </mc:Fallback>
        </mc:AlternateContent>
      </w:r>
    </w:p>
    <w:p w:rsidR="006543B4" w:rsidRPr="002C1587" w:rsidP="00F42E21" w14:paraId="50F9EEB3" w14:textId="77777777">
      <w:pPr>
        <w:pStyle w:val="BodyText"/>
      </w:pPr>
    </w:p>
    <w:tbl>
      <w:tblPr>
        <w:tblW w:w="10800" w:type="dxa"/>
        <w:shd w:val="clear" w:color="auto" w:fill="BC5D58"/>
        <w:tblLook w:val="04A0"/>
      </w:tblPr>
      <w:tblGrid>
        <w:gridCol w:w="10800"/>
      </w:tblGrid>
      <w:tr w14:paraId="121496B4" w14:textId="77777777" w:rsidTr="0064368E">
        <w:tblPrEx>
          <w:tblW w:w="10800" w:type="dxa"/>
          <w:shd w:val="clear" w:color="auto" w:fill="BC5D58"/>
          <w:tblLook w:val="04A0"/>
        </w:tblPrEx>
        <w:tc>
          <w:tcPr>
            <w:tcW w:w="10800" w:type="dxa"/>
            <w:shd w:val="clear" w:color="auto" w:fill="CE2C43"/>
          </w:tcPr>
          <w:p w:rsidR="00F42E21" w:rsidP="0064368E" w14:paraId="124C3EDE" w14:textId="69956709">
            <w:pPr>
              <w:pStyle w:val="TableHeader"/>
            </w:pPr>
            <w:r>
              <w:t>Employer Shared Responsibility Rules</w:t>
            </w:r>
          </w:p>
        </w:tc>
      </w:tr>
    </w:tbl>
    <w:p w:rsidR="00FD4D62" w:rsidP="00FD4D62" w14:paraId="3AE638E1" w14:textId="77777777">
      <w:pPr>
        <w:pStyle w:val="BodyText"/>
      </w:pPr>
      <w:r w:rsidRPr="00D54FCD">
        <w:t xml:space="preserve">Under the ACA’s employer </w:t>
      </w:r>
      <w:r>
        <w:t>shared responsibility</w:t>
      </w:r>
      <w:r w:rsidRPr="00D54FCD">
        <w:t xml:space="preserve"> rules, applicable large employers (ALEs) </w:t>
      </w:r>
      <w:r>
        <w:t>are required to offer affordable, minimum value</w:t>
      </w:r>
      <w:r w:rsidRPr="00D54FCD">
        <w:t xml:space="preserve"> </w:t>
      </w:r>
      <w:r>
        <w:t xml:space="preserve">(MV) </w:t>
      </w:r>
      <w:r w:rsidRPr="00D54FCD">
        <w:t xml:space="preserve">health coverage to their full-time employees (and dependent children) </w:t>
      </w:r>
      <w:r>
        <w:t xml:space="preserve">or pay a penalty. </w:t>
      </w:r>
      <w:r w:rsidRPr="00D54FCD">
        <w:t>The</w:t>
      </w:r>
      <w:r>
        <w:t>se</w:t>
      </w:r>
      <w:r w:rsidRPr="00D54FCD">
        <w:t xml:space="preserve"> employer </w:t>
      </w:r>
      <w:r>
        <w:t>shared responsibility</w:t>
      </w:r>
      <w:r w:rsidRPr="00D54FCD">
        <w:t xml:space="preserve"> requirements are</w:t>
      </w:r>
      <w:r>
        <w:t xml:space="preserve"> also</w:t>
      </w:r>
      <w:r w:rsidRPr="00D54FCD">
        <w:t xml:space="preserve"> known as the “employer </w:t>
      </w:r>
      <w:r>
        <w:t>mandate</w:t>
      </w:r>
      <w:r w:rsidRPr="00D54FCD">
        <w:t>” or “pay or play” rules.</w:t>
      </w:r>
    </w:p>
    <w:p w:rsidR="00FD4D62" w:rsidRPr="008A34C6" w:rsidP="00F42E21" w14:paraId="2D20E023" w14:textId="77777777">
      <w:pPr>
        <w:pStyle w:val="BodyText"/>
      </w:pPr>
      <w:r>
        <w:t>An ALE will be subject to</w:t>
      </w:r>
      <w:r w:rsidRPr="00D54FCD">
        <w:t xml:space="preserve"> penalties if </w:t>
      </w:r>
      <w:r>
        <w:t>one or more</w:t>
      </w:r>
      <w:r w:rsidRPr="00D54FCD">
        <w:t xml:space="preserve"> full-time employee</w:t>
      </w:r>
      <w:r>
        <w:t>s</w:t>
      </w:r>
      <w:r w:rsidRPr="00D54FCD">
        <w:t xml:space="preserve"> receive a subsidy for </w:t>
      </w:r>
      <w:r>
        <w:t xml:space="preserve">purchasing </w:t>
      </w:r>
      <w:r w:rsidRPr="00D54FCD">
        <w:t xml:space="preserve">health coverage through an Exchange. </w:t>
      </w:r>
      <w:r w:rsidRPr="00B87585">
        <w:t>An individual may be eligible for a</w:t>
      </w:r>
      <w:r>
        <w:t>n Exchange</w:t>
      </w:r>
      <w:r w:rsidRPr="00B87585">
        <w:t xml:space="preserve"> subsidy either because the ALE</w:t>
      </w:r>
      <w:r w:rsidR="00F42E21">
        <w:t xml:space="preserve"> d</w:t>
      </w:r>
      <w:r w:rsidRPr="00B87585">
        <w:t>oes not offer coverage</w:t>
      </w:r>
      <w:r>
        <w:t xml:space="preserve"> to that individual</w:t>
      </w:r>
      <w:r w:rsidR="00F42E21">
        <w:t>,</w:t>
      </w:r>
      <w:r w:rsidRPr="00B87585">
        <w:t xml:space="preserve"> or</w:t>
      </w:r>
      <w:r w:rsidR="00F42E21">
        <w:t xml:space="preserve"> o</w:t>
      </w:r>
      <w:r w:rsidRPr="00B87585">
        <w:t>ffers coverage that is “unaffordable” or does not provide “minimum value.”</w:t>
      </w:r>
    </w:p>
    <w:p w:rsidR="00FD4D62" w:rsidRPr="00E23B1D" w:rsidP="00F42E21" w14:paraId="614374BB" w14:textId="5DBA707D">
      <w:pPr>
        <w:pStyle w:val="BodyText"/>
        <w:rPr>
          <w:i/>
        </w:rPr>
      </w:pPr>
      <w:r w:rsidRPr="00D54FCD">
        <w:t xml:space="preserve">This checklist will help you evaluate your possible liability </w:t>
      </w:r>
      <w:r w:rsidRPr="00402B29">
        <w:t>for</w:t>
      </w:r>
      <w:r w:rsidRPr="00D54FCD">
        <w:t xml:space="preserve"> a</w:t>
      </w:r>
      <w:r w:rsidR="00F42E21">
        <w:t xml:space="preserve"> pay or pla</w:t>
      </w:r>
      <w:r>
        <w:t>y penalty for 202</w:t>
      </w:r>
      <w:r w:rsidR="007A1E50">
        <w:t>2</w:t>
      </w:r>
      <w:r w:rsidRPr="00D54FCD">
        <w:t>.</w:t>
      </w:r>
      <w:r>
        <w:t xml:space="preserve"> </w:t>
      </w:r>
      <w:r w:rsidRPr="00E23B1D">
        <w:rPr>
          <w:i/>
        </w:rPr>
        <w:t>Please keep in mind that this summary is a high-level overview of the</w:t>
      </w:r>
      <w:r w:rsidRPr="00E23B1D" w:rsidR="00F42E21">
        <w:rPr>
          <w:i/>
        </w:rPr>
        <w:t>se</w:t>
      </w:r>
      <w:r w:rsidRPr="00E23B1D">
        <w:rPr>
          <w:i/>
        </w:rPr>
        <w:t xml:space="preserve"> rules. It does not provide an in-depth analysis of how the rules will affect your organization. Please contact </w:t>
      </w:r>
      <w:r w:rsidRPr="00E23B1D">
        <w:rPr>
          <w:i/>
        </w:rPr>
        <w:t>Foundation Risk Partners</w:t>
      </w:r>
      <w:r w:rsidRPr="00E23B1D">
        <w:rPr>
          <w:i/>
        </w:rPr>
        <w:t xml:space="preserve"> for more information on these rules and how they may apply to you.</w:t>
      </w:r>
    </w:p>
    <w:p w:rsidR="00FD4D62" w:rsidRPr="00402B29" w:rsidP="00362823" w14:paraId="73E217DA" w14:textId="77777777">
      <w:pPr>
        <w:pStyle w:val="SectionedHeader"/>
      </w:pPr>
      <w:r w:rsidRPr="00D54FCD">
        <w:t>Applicable Large Employer Status</w:t>
      </w:r>
    </w:p>
    <w:p w:rsidR="00FD4D62" w:rsidP="00FD4D62" w14:paraId="43B9F1F1" w14:textId="118CDD62">
      <w:pPr>
        <w:pStyle w:val="BodyText"/>
      </w:pPr>
      <w:r w:rsidRPr="00D54FCD">
        <w:t xml:space="preserve">The ACA’s employer </w:t>
      </w:r>
      <w:r>
        <w:t>shared responsibility</w:t>
      </w:r>
      <w:r w:rsidRPr="00D54FCD">
        <w:t xml:space="preserve"> rules </w:t>
      </w:r>
      <w:r w:rsidRPr="00402B29">
        <w:t>apply</w:t>
      </w:r>
      <w:r w:rsidRPr="00D54FCD">
        <w:t xml:space="preserve"> only to ALEs. ALEs are employers with </w:t>
      </w:r>
      <w:r w:rsidRPr="00D54FCD">
        <w:rPr>
          <w:b/>
        </w:rPr>
        <w:t xml:space="preserve">50 or more </w:t>
      </w:r>
      <w:r w:rsidRPr="00D54FCD">
        <w:t>full-time employees (including full-time equivalent employees, or FTEs) on business days during the preceding calendar year.</w:t>
      </w:r>
      <w:r>
        <w:t xml:space="preserve"> </w:t>
      </w:r>
      <w:r w:rsidRPr="00D54FCD">
        <w:t>Employers determine each year, based on their current number of employees, whether they will be considered an ALE for the following year.</w:t>
      </w:r>
    </w:p>
    <w:p w:rsidR="00FD4D62" w:rsidRPr="00D54FCD" w:rsidP="00F42E21" w14:paraId="4F838C2F" w14:textId="77777777">
      <w:pPr>
        <w:pStyle w:val="BodyText"/>
      </w:pPr>
      <w:r>
        <w:rPr>
          <w:noProof/>
        </w:rPr>
        <mc:AlternateContent>
          <mc:Choice Requires="wps">
            <w:drawing>
              <wp:inline distT="0" distB="0" distL="0" distR="0">
                <wp:extent cx="6824621" cy="3323645"/>
                <wp:effectExtent l="19050" t="19050" r="14605" b="10160"/>
                <wp:docPr id="53" name="Text Box 5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4621" cy="3323645"/>
                        </a:xfrm>
                        <a:prstGeom prst="rect">
                          <a:avLst/>
                        </a:prstGeom>
                        <a:solidFill>
                          <a:srgbClr val="F2F2F2"/>
                        </a:solidFill>
                        <a:ln w="28575">
                          <a:solidFill>
                            <a:srgbClr val="CE2C43"/>
                          </a:solidFill>
                          <a:miter lim="800000"/>
                          <a:headEnd/>
                          <a:tailEnd/>
                        </a:ln>
                      </wps:spPr>
                      <wps:txbx>
                        <w:txbxContent>
                          <w:p w:rsidR="00763EB7" w:rsidRPr="00763EB7" w:rsidP="00763EB7" w14:textId="24F88041">
                            <w:pPr>
                              <w:pStyle w:val="T-Subheading"/>
                              <w:rPr>
                                <w:color w:val="CE2C43"/>
                              </w:rPr>
                            </w:pPr>
                            <w:r>
                              <w:rPr>
                                <w:color w:val="CE2C43"/>
                              </w:rPr>
                              <w:t>Determine your ALE status for 202</w:t>
                            </w:r>
                            <w:r w:rsidR="007A1E50">
                              <w:rPr>
                                <w:color w:val="CE2C43"/>
                              </w:rPr>
                              <w:t>2</w:t>
                            </w:r>
                            <w:r w:rsidRPr="00763EB7">
                              <w:rPr>
                                <w:color w:val="CE2C43"/>
                              </w:rPr>
                              <w:t>:</w:t>
                            </w:r>
                          </w:p>
                          <w:p w:rsidR="00F42E21" w:rsidRPr="00ED0EDB" w:rsidP="00F42E21" w14:textId="1DAFC79E">
                            <w:pPr>
                              <w:pStyle w:val="T-BulletList"/>
                            </w:pPr>
                            <w:r w:rsidRPr="00ED0EDB">
                              <w:t>Calculate the number of full-time employees for each</w:t>
                            </w:r>
                            <w:r>
                              <w:t xml:space="preserve"> </w:t>
                            </w:r>
                            <w:r w:rsidRPr="00ED0EDB">
                              <w:t xml:space="preserve">calendar month </w:t>
                            </w:r>
                            <w:r>
                              <w:t>in 202</w:t>
                            </w:r>
                            <w:r w:rsidR="007A1E50">
                              <w:t>1</w:t>
                            </w:r>
                            <w:r w:rsidRPr="00ED0EDB">
                              <w:t xml:space="preserve">. A full-time employee is </w:t>
                            </w:r>
                            <w:r w:rsidR="006543B4">
                              <w:t>o</w:t>
                            </w:r>
                            <w:r w:rsidRPr="00ED0EDB">
                              <w:t>n</w:t>
                            </w:r>
                            <w:r w:rsidR="006543B4">
                              <w:t>e</w:t>
                            </w:r>
                            <w:r w:rsidRPr="00ED0EDB">
                              <w:t xml:space="preserve"> who is employed</w:t>
                            </w:r>
                            <w:r>
                              <w:t>,</w:t>
                            </w:r>
                            <w:r w:rsidRPr="00ED0EDB">
                              <w:t xml:space="preserve"> on average</w:t>
                            </w:r>
                            <w:r>
                              <w:t>,</w:t>
                            </w:r>
                            <w:r w:rsidRPr="00ED0EDB">
                              <w:t xml:space="preserve"> at least 30 hours of service per week</w:t>
                            </w:r>
                            <w:r>
                              <w:t xml:space="preserve"> or 130 hours for the calendar month</w:t>
                            </w:r>
                            <w:r w:rsidRPr="00ED0EDB">
                              <w:t>.</w:t>
                            </w:r>
                          </w:p>
                          <w:p w:rsidR="00F42E21" w:rsidRPr="00ED0EDB" w:rsidP="00F42E21" w14:textId="0AD4B29A">
                            <w:pPr>
                              <w:pStyle w:val="T-BulletList"/>
                            </w:pPr>
                            <w:r w:rsidRPr="00ED0EDB">
                              <w:t xml:space="preserve">Calculate the number of FTEs for each calendar month in </w:t>
                            </w:r>
                            <w:r>
                              <w:t>202</w:t>
                            </w:r>
                            <w:r w:rsidR="007A1E50">
                              <w:t>1</w:t>
                            </w:r>
                            <w:r w:rsidRPr="00ED0EDB">
                              <w:t xml:space="preserve"> by calculating the aggregate number of hours of service (but not more than 120 hours for any employee) for all employees who were not full-time employees for that month and dividing the total hours of service by 120.</w:t>
                            </w:r>
                          </w:p>
                          <w:p w:rsidR="00F42E21" w:rsidRPr="00ED0EDB" w:rsidP="00F42E21" w14:textId="1D15CDA6">
                            <w:pPr>
                              <w:pStyle w:val="T-BulletList"/>
                            </w:pPr>
                            <w:r w:rsidRPr="00ED0EDB">
                              <w:t xml:space="preserve">Add the number of full-time employees and FTEs (including fractions) calculated above for each month in </w:t>
                            </w:r>
                            <w:r>
                              <w:t>202</w:t>
                            </w:r>
                            <w:r w:rsidR="007A1E50">
                              <w:t>1</w:t>
                            </w:r>
                            <w:r w:rsidRPr="00ED0EDB">
                              <w:t>.</w:t>
                            </w:r>
                            <w:r>
                              <w:t xml:space="preserve"> A</w:t>
                            </w:r>
                            <w:r w:rsidRPr="00ED0EDB">
                              <w:t>dd up the</w:t>
                            </w:r>
                            <w:r>
                              <w:t>se</w:t>
                            </w:r>
                            <w:r w:rsidRPr="00ED0EDB">
                              <w:t xml:space="preserve"> monthly numbers</w:t>
                            </w:r>
                            <w:r>
                              <w:t xml:space="preserve"> </w:t>
                            </w:r>
                            <w:r w:rsidRPr="00ED0EDB">
                              <w:t xml:space="preserve">and divide </w:t>
                            </w:r>
                            <w:r>
                              <w:t xml:space="preserve">the sum </w:t>
                            </w:r>
                            <w:r w:rsidRPr="00ED0EDB">
                              <w:t xml:space="preserve">by </w:t>
                            </w:r>
                            <w:r>
                              <w:t>12</w:t>
                            </w:r>
                            <w:r w:rsidRPr="00ED0EDB">
                              <w:t>. Disregard fractions.</w:t>
                            </w:r>
                          </w:p>
                          <w:p w:rsidR="00F42E21" w:rsidP="00F42E21" w14:textId="718C731D">
                            <w:pPr>
                              <w:pStyle w:val="T-BulletList"/>
                            </w:pPr>
                            <w:r w:rsidRPr="00ED0EDB">
                              <w:t>If your result is 50 or more, you are likely an ALE for 20</w:t>
                            </w:r>
                            <w:r>
                              <w:t>2</w:t>
                            </w:r>
                            <w:r w:rsidR="007A1E50">
                              <w:t>2</w:t>
                            </w:r>
                            <w:r w:rsidRPr="00ED0EDB">
                              <w:t>.</w:t>
                            </w:r>
                          </w:p>
                          <w:p w:rsidR="00F42E21" w:rsidP="00F42E21" w14:textId="7B89AC05">
                            <w:pPr>
                              <w:pStyle w:val="T-BulletList"/>
                            </w:pPr>
                            <w:r w:rsidRPr="00ED0EDB">
                              <w:t xml:space="preserve">Keep in mind that there is a special exception for employers with seasonal workers. If your workforce exceeds 50 full-time employees (including FTEs) for 120 days or fewer during </w:t>
                            </w:r>
                            <w:r>
                              <w:t>the 20</w:t>
                            </w:r>
                            <w:r w:rsidR="006543B4">
                              <w:t>2</w:t>
                            </w:r>
                            <w:r w:rsidR="007A1E50">
                              <w:t>1</w:t>
                            </w:r>
                            <w:r w:rsidRPr="00ED0EDB">
                              <w:t xml:space="preserve"> calendar year, and the employees in excess of 50 who were employed during that time were seasonal workers, </w:t>
                            </w:r>
                            <w:r>
                              <w:t>you will not be</w:t>
                            </w:r>
                            <w:r w:rsidRPr="00ED0EDB">
                              <w:t xml:space="preserve"> an ALE</w:t>
                            </w:r>
                            <w:r>
                              <w:t xml:space="preserve"> for 202</w:t>
                            </w:r>
                            <w:r w:rsidR="007A1E50">
                              <w:t>2</w:t>
                            </w:r>
                            <w:r w:rsidRPr="00ED0EDB">
                              <w:t>.</w:t>
                            </w:r>
                          </w:p>
                          <w:p w:rsidR="00AD0987" w:rsidP="00F42E21" w14:textId="1E9BC2FF">
                            <w:pPr>
                              <w:pStyle w:val="T-BulletList"/>
                            </w:pPr>
                            <w:r>
                              <w:t xml:space="preserve">There is also a special rule for excluding </w:t>
                            </w:r>
                            <w:r w:rsidRPr="00AD0987">
                              <w:t>veterans who have certain types of veterans’ health coverage</w:t>
                            </w:r>
                            <w:r>
                              <w:t>.</w:t>
                            </w:r>
                          </w:p>
                          <w:p w:rsidR="00763EB7" w:rsidP="00F42E21" w14:textId="77777777">
                            <w:pPr>
                              <w:pStyle w:val="T-BulletList"/>
                            </w:pPr>
                            <w:r>
                              <w:t>Companies under common ownership may have to be combined to determine their ALE status.</w:t>
                            </w:r>
                          </w:p>
                        </w:txbxContent>
                      </wps:txbx>
                      <wps:bodyPr rot="0" vert="horz" wrap="square" lIns="91440" tIns="45720" rIns="91440" bIns="45720" anchor="t" anchorCtr="0" upright="1"/>
                    </wps:wsp>
                  </a:graphicData>
                </a:graphic>
              </wp:inline>
            </w:drawing>
          </mc:Choice>
          <mc:Fallback>
            <w:pict>
              <v:shape id="Text Box 53" o:spid="_x0000_i1041" type="#_x0000_t202" style="width:537.37pt;height:261.7pt;mso-wrap-distance-bottom:0;mso-wrap-distance-left:0;mso-wrap-distance-right:0;mso-wrap-distance-top:0;v-text-anchor:top" fillcolor="#f2f2f2" stroked="t" strokecolor="#ce2c43" strokeweight="2.25pt">
                <v:textbox>
                  <w:txbxContent>
                    <w:p w:rsidR="00763EB7" w:rsidRPr="00763EB7" w:rsidP="00763EB7" w14:paraId="473D48BC" w14:textId="24F88041">
                      <w:pPr>
                        <w:pStyle w:val="T-Subheading"/>
                        <w:rPr>
                          <w:color w:val="CE2C43"/>
                        </w:rPr>
                      </w:pPr>
                      <w:r>
                        <w:rPr>
                          <w:color w:val="CE2C43"/>
                        </w:rPr>
                        <w:t>Determine your ALE status for 202</w:t>
                      </w:r>
                      <w:r w:rsidR="007A1E50">
                        <w:rPr>
                          <w:color w:val="CE2C43"/>
                        </w:rPr>
                        <w:t>2</w:t>
                      </w:r>
                      <w:r w:rsidRPr="00763EB7">
                        <w:rPr>
                          <w:color w:val="CE2C43"/>
                        </w:rPr>
                        <w:t>:</w:t>
                      </w:r>
                    </w:p>
                    <w:p w:rsidR="00F42E21" w:rsidRPr="00ED0EDB" w:rsidP="00F42E21" w14:paraId="151C1F4E" w14:textId="1DAFC79E">
                      <w:pPr>
                        <w:pStyle w:val="T-BulletList"/>
                      </w:pPr>
                      <w:r w:rsidRPr="00ED0EDB">
                        <w:t>Calculate the number of full-time employees for each</w:t>
                      </w:r>
                      <w:r>
                        <w:t xml:space="preserve"> </w:t>
                      </w:r>
                      <w:r w:rsidRPr="00ED0EDB">
                        <w:t xml:space="preserve">calendar month </w:t>
                      </w:r>
                      <w:r>
                        <w:t>in 202</w:t>
                      </w:r>
                      <w:r w:rsidR="007A1E50">
                        <w:t>1</w:t>
                      </w:r>
                      <w:r w:rsidRPr="00ED0EDB">
                        <w:t xml:space="preserve">. A full-time employee is </w:t>
                      </w:r>
                      <w:r w:rsidR="006543B4">
                        <w:t>o</w:t>
                      </w:r>
                      <w:r w:rsidRPr="00ED0EDB">
                        <w:t>n</w:t>
                      </w:r>
                      <w:r w:rsidR="006543B4">
                        <w:t>e</w:t>
                      </w:r>
                      <w:r w:rsidRPr="00ED0EDB">
                        <w:t xml:space="preserve"> who is employed</w:t>
                      </w:r>
                      <w:r>
                        <w:t>,</w:t>
                      </w:r>
                      <w:r w:rsidRPr="00ED0EDB">
                        <w:t xml:space="preserve"> on average</w:t>
                      </w:r>
                      <w:r>
                        <w:t>,</w:t>
                      </w:r>
                      <w:r w:rsidRPr="00ED0EDB">
                        <w:t xml:space="preserve"> at least 30 hours of service per week</w:t>
                      </w:r>
                      <w:r>
                        <w:t xml:space="preserve"> or 130 hours for the calendar month</w:t>
                      </w:r>
                      <w:r w:rsidRPr="00ED0EDB">
                        <w:t>.</w:t>
                      </w:r>
                    </w:p>
                    <w:p w:rsidR="00F42E21" w:rsidRPr="00ED0EDB" w:rsidP="00F42E21" w14:paraId="72E99FFE" w14:textId="0AD4B29A">
                      <w:pPr>
                        <w:pStyle w:val="T-BulletList"/>
                      </w:pPr>
                      <w:r w:rsidRPr="00ED0EDB">
                        <w:t xml:space="preserve">Calculate the number of FTEs for each calendar month in </w:t>
                      </w:r>
                      <w:r>
                        <w:t>202</w:t>
                      </w:r>
                      <w:r w:rsidR="007A1E50">
                        <w:t>1</w:t>
                      </w:r>
                      <w:r w:rsidRPr="00ED0EDB">
                        <w:t xml:space="preserve"> by calculating the aggregate number of hours of service (but not more than 120 hours for any employee) for all employees who were not full-time employees for that month and dividing the total hours of service by 120.</w:t>
                      </w:r>
                    </w:p>
                    <w:p w:rsidR="00F42E21" w:rsidRPr="00ED0EDB" w:rsidP="00F42E21" w14:paraId="07ABB702" w14:textId="1D15CDA6">
                      <w:pPr>
                        <w:pStyle w:val="T-BulletList"/>
                      </w:pPr>
                      <w:r w:rsidRPr="00ED0EDB">
                        <w:t xml:space="preserve">Add the number of full-time employees and FTEs (including fractions) calculated above for each month in </w:t>
                      </w:r>
                      <w:r>
                        <w:t>202</w:t>
                      </w:r>
                      <w:r w:rsidR="007A1E50">
                        <w:t>1</w:t>
                      </w:r>
                      <w:r w:rsidRPr="00ED0EDB">
                        <w:t>.</w:t>
                      </w:r>
                      <w:r>
                        <w:t xml:space="preserve"> A</w:t>
                      </w:r>
                      <w:r w:rsidRPr="00ED0EDB">
                        <w:t>dd up the</w:t>
                      </w:r>
                      <w:r>
                        <w:t>se</w:t>
                      </w:r>
                      <w:r w:rsidRPr="00ED0EDB">
                        <w:t xml:space="preserve"> monthly numbers</w:t>
                      </w:r>
                      <w:r>
                        <w:t xml:space="preserve"> </w:t>
                      </w:r>
                      <w:r w:rsidRPr="00ED0EDB">
                        <w:t xml:space="preserve">and divide </w:t>
                      </w:r>
                      <w:r>
                        <w:t xml:space="preserve">the sum </w:t>
                      </w:r>
                      <w:r w:rsidRPr="00ED0EDB">
                        <w:t xml:space="preserve">by </w:t>
                      </w:r>
                      <w:r>
                        <w:t>12</w:t>
                      </w:r>
                      <w:r w:rsidRPr="00ED0EDB">
                        <w:t>. Disregard fractions.</w:t>
                      </w:r>
                    </w:p>
                    <w:p w:rsidR="00F42E21" w:rsidP="00F42E21" w14:paraId="61987236" w14:textId="718C731D">
                      <w:pPr>
                        <w:pStyle w:val="T-BulletList"/>
                      </w:pPr>
                      <w:r w:rsidRPr="00ED0EDB">
                        <w:t>If your result is 50 or more, you are likely an ALE for 20</w:t>
                      </w:r>
                      <w:r>
                        <w:t>2</w:t>
                      </w:r>
                      <w:r w:rsidR="007A1E50">
                        <w:t>2</w:t>
                      </w:r>
                      <w:r w:rsidRPr="00ED0EDB">
                        <w:t>.</w:t>
                      </w:r>
                    </w:p>
                    <w:p w:rsidR="00F42E21" w:rsidP="00F42E21" w14:paraId="30625B15" w14:textId="7B89AC05">
                      <w:pPr>
                        <w:pStyle w:val="T-BulletList"/>
                      </w:pPr>
                      <w:r w:rsidRPr="00ED0EDB">
                        <w:t xml:space="preserve">Keep in mind that there is a special exception for employers with seasonal workers. If your workforce exceeds 50 full-time employees (including FTEs) for 120 days or fewer during </w:t>
                      </w:r>
                      <w:r>
                        <w:t>the 20</w:t>
                      </w:r>
                      <w:r w:rsidR="006543B4">
                        <w:t>2</w:t>
                      </w:r>
                      <w:r w:rsidR="007A1E50">
                        <w:t>1</w:t>
                      </w:r>
                      <w:r w:rsidRPr="00ED0EDB">
                        <w:t xml:space="preserve"> calendar year, and the employees in excess of 50 who were employed during that time were seasonal workers, </w:t>
                      </w:r>
                      <w:r>
                        <w:t>you will not be</w:t>
                      </w:r>
                      <w:r w:rsidRPr="00ED0EDB">
                        <w:t xml:space="preserve"> an ALE</w:t>
                      </w:r>
                      <w:r>
                        <w:t xml:space="preserve"> for 202</w:t>
                      </w:r>
                      <w:r w:rsidR="007A1E50">
                        <w:t>2</w:t>
                      </w:r>
                      <w:r w:rsidRPr="00ED0EDB">
                        <w:t>.</w:t>
                      </w:r>
                    </w:p>
                    <w:p w:rsidR="00AD0987" w:rsidP="00F42E21" w14:paraId="6B9941C9" w14:textId="1E9BC2FF">
                      <w:pPr>
                        <w:pStyle w:val="T-BulletList"/>
                      </w:pPr>
                      <w:r>
                        <w:t xml:space="preserve">There is also a special rule for excluding </w:t>
                      </w:r>
                      <w:r w:rsidRPr="00AD0987">
                        <w:t>veterans who have certain types of veterans’ health coverage</w:t>
                      </w:r>
                      <w:r>
                        <w:t>.</w:t>
                      </w:r>
                    </w:p>
                    <w:p w:rsidR="00763EB7" w:rsidP="00F42E21" w14:paraId="484D09D2" w14:textId="77777777">
                      <w:pPr>
                        <w:pStyle w:val="T-BulletList"/>
                      </w:pPr>
                      <w:r>
                        <w:t>Companies under common ownership may have to be combined to determine their ALE status.</w:t>
                      </w:r>
                    </w:p>
                  </w:txbxContent>
                </v:textbox>
                <w10:anchorlock/>
              </v:shape>
            </w:pict>
          </mc:Fallback>
        </mc:AlternateContent>
      </w:r>
    </w:p>
    <w:p w:rsidR="00FD4D62" w:rsidRPr="00F413AD" w:rsidP="00362823" w14:paraId="04A5B48E" w14:textId="77777777">
      <w:pPr>
        <w:pStyle w:val="SectionedHeader"/>
      </w:pPr>
      <w:r>
        <w:t xml:space="preserve">Offering Coverage to </w:t>
      </w:r>
      <w:r w:rsidRPr="00D54FCD">
        <w:t>Full-time Employees</w:t>
      </w:r>
    </w:p>
    <w:p w:rsidR="00FD4D62" w:rsidP="00FD4D62" w14:paraId="640C5804" w14:textId="77777777">
      <w:pPr>
        <w:pStyle w:val="BodyText"/>
      </w:pPr>
      <w:r>
        <w:t xml:space="preserve">To correctly offer coverage to full-time employees, ALEs must determine which employees are full-time employees under the employer shared responsibility rule definition. </w:t>
      </w:r>
      <w:r w:rsidRPr="00D54FCD">
        <w:t>A full-time employee is an employee who was employed</w:t>
      </w:r>
      <w:r>
        <w:t>,</w:t>
      </w:r>
      <w:r w:rsidRPr="00D54FCD">
        <w:t xml:space="preserve"> on average</w:t>
      </w:r>
      <w:r>
        <w:t>,</w:t>
      </w:r>
      <w:r w:rsidRPr="00D54FCD">
        <w:t xml:space="preserve"> at least </w:t>
      </w:r>
      <w:r>
        <w:rPr>
          <w:b/>
        </w:rPr>
        <w:t>30 hours of service per week</w:t>
      </w:r>
      <w:r w:rsidRPr="00D54FCD">
        <w:t xml:space="preserve"> </w:t>
      </w:r>
      <w:r>
        <w:t xml:space="preserve">(or </w:t>
      </w:r>
      <w:r w:rsidRPr="00A64411">
        <w:rPr>
          <w:b/>
        </w:rPr>
        <w:t>130 hours of service in a calendar month</w:t>
      </w:r>
      <w:r>
        <w:t>).</w:t>
      </w:r>
    </w:p>
    <w:p w:rsidR="00FD4D62" w:rsidRPr="00D54FCD" w:rsidP="00FD4D62" w14:paraId="489986A4" w14:textId="77777777">
      <w:pPr>
        <w:pStyle w:val="BodyText"/>
      </w:pPr>
      <w:r w:rsidRPr="00D54FCD">
        <w:t>The IRS</w:t>
      </w:r>
      <w:r>
        <w:t xml:space="preserve"> </w:t>
      </w:r>
      <w:r w:rsidRPr="00D54FCD">
        <w:t>provided two methods for determining full-time employee status</w:t>
      </w:r>
      <w:r>
        <w:t xml:space="preserve"> for purposes of offering coverage</w:t>
      </w:r>
      <w:r w:rsidRPr="00D54FCD">
        <w:t>—</w:t>
      </w:r>
      <w:r w:rsidRPr="00A64411">
        <w:rPr>
          <w:b/>
        </w:rPr>
        <w:t>the monthly measurement method</w:t>
      </w:r>
      <w:r w:rsidRPr="00D54FCD">
        <w:t xml:space="preserve"> and </w:t>
      </w:r>
      <w:r w:rsidRPr="00A64411">
        <w:rPr>
          <w:b/>
        </w:rPr>
        <w:t>the look-back measurement method</w:t>
      </w:r>
      <w:r w:rsidRPr="00D54FCD">
        <w:t>.</w:t>
      </w:r>
    </w:p>
    <w:tbl>
      <w:tblPr>
        <w:tblW w:w="10777" w:type="dxa"/>
        <w:jc w:val="center"/>
        <w:tblBorders>
          <w:top w:val="single" w:sz="24" w:space="0" w:color="1F497D"/>
          <w:left w:val="single" w:sz="24" w:space="0" w:color="1F497D"/>
          <w:bottom w:val="single" w:sz="24" w:space="0" w:color="1F497D"/>
          <w:right w:val="single" w:sz="24" w:space="0" w:color="1F497D"/>
          <w:insideH w:val="single" w:sz="24" w:space="0" w:color="1F497D"/>
          <w:insideV w:val="single" w:sz="24" w:space="0" w:color="1F497D"/>
        </w:tblBorders>
        <w:tblLayout w:type="fixed"/>
        <w:tblLook w:val="04A0"/>
      </w:tblPr>
      <w:tblGrid>
        <w:gridCol w:w="2160"/>
        <w:gridCol w:w="8617"/>
      </w:tblGrid>
      <w:tr w14:paraId="439E4613" w14:textId="77777777" w:rsidTr="00F42E21">
        <w:tblPrEx>
          <w:tblW w:w="10777" w:type="dxa"/>
          <w:jc w:val="center"/>
          <w:tblBorders>
            <w:top w:val="single" w:sz="24" w:space="0" w:color="1F497D"/>
            <w:left w:val="single" w:sz="24" w:space="0" w:color="1F497D"/>
            <w:bottom w:val="single" w:sz="24" w:space="0" w:color="1F497D"/>
            <w:right w:val="single" w:sz="24" w:space="0" w:color="1F497D"/>
            <w:insideH w:val="single" w:sz="24" w:space="0" w:color="1F497D"/>
            <w:insideV w:val="single" w:sz="24" w:space="0" w:color="1F497D"/>
          </w:tblBorders>
          <w:tblLayout w:type="fixed"/>
          <w:tblLook w:val="04A0"/>
        </w:tblPrEx>
        <w:trPr>
          <w:trHeight w:val="1264"/>
          <w:jc w:val="center"/>
        </w:trPr>
        <w:tc>
          <w:tcPr>
            <w:tcW w:w="2160" w:type="dxa"/>
            <w:tcBorders>
              <w:top w:val="single" w:sz="18" w:space="0" w:color="FFFFFF"/>
              <w:left w:val="single" w:sz="18" w:space="0" w:color="FFFFFF"/>
              <w:bottom w:val="single" w:sz="18" w:space="0" w:color="FFFFFF"/>
              <w:right w:val="single" w:sz="18" w:space="0" w:color="FFFFFF"/>
            </w:tcBorders>
            <w:shd w:val="clear" w:color="auto" w:fill="CE2C43"/>
            <w:vAlign w:val="center"/>
          </w:tcPr>
          <w:p w:rsidR="00FD4D62" w:rsidRPr="00072D41" w:rsidP="0064368E" w14:paraId="44CF1EB7" w14:textId="77777777">
            <w:pPr>
              <w:pStyle w:val="T-Heading"/>
              <w:spacing w:before="0" w:after="0"/>
            </w:pPr>
            <w:r w:rsidRPr="00072D41">
              <w:t>MONTHLY MEASUREMENT METHOD</w:t>
            </w:r>
          </w:p>
        </w:tc>
        <w:tc>
          <w:tcPr>
            <w:tcW w:w="8617"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FD4D62" w:rsidRPr="00D54FCD" w:rsidP="0064368E" w14:paraId="58DA23DA" w14:textId="6415C2A1">
            <w:pPr>
              <w:pStyle w:val="T-Text"/>
              <w:spacing w:before="80" w:after="80"/>
            </w:pPr>
            <w:r w:rsidRPr="00D54FCD">
              <w:t>Involves a month-to-month analysis where full-time employees are identified based on their hours of service for each month. This method is not based on averaging hours of service over a prior measurement method. Month-to-month measuring may cause practical difficulties for employers</w:t>
            </w:r>
            <w:r>
              <w:t xml:space="preserve"> that have</w:t>
            </w:r>
            <w:r w:rsidRPr="00D54FCD">
              <w:t xml:space="preserve"> employees with varying hours or employment schedules, and could result in employees moving in and out of employer coverage on a monthly basis.</w:t>
            </w:r>
          </w:p>
        </w:tc>
      </w:tr>
      <w:tr w14:paraId="68886AF2" w14:textId="77777777" w:rsidTr="00F42E21">
        <w:tblPrEx>
          <w:tblW w:w="10777" w:type="dxa"/>
          <w:jc w:val="center"/>
          <w:tblLayout w:type="fixed"/>
          <w:tblLook w:val="04A0"/>
        </w:tblPrEx>
        <w:trPr>
          <w:trHeight w:val="50"/>
          <w:jc w:val="center"/>
        </w:trPr>
        <w:tc>
          <w:tcPr>
            <w:tcW w:w="216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FD4D62" w:rsidRPr="00854C8B" w:rsidP="0064368E" w14:paraId="29F3259D" w14:textId="77777777">
            <w:pPr>
              <w:pStyle w:val="T-Text"/>
              <w:spacing w:before="0" w:after="0"/>
              <w:rPr>
                <w:sz w:val="8"/>
              </w:rPr>
            </w:pPr>
          </w:p>
        </w:tc>
        <w:tc>
          <w:tcPr>
            <w:tcW w:w="8617" w:type="dxa"/>
            <w:tcBorders>
              <w:top w:val="single" w:sz="18" w:space="0" w:color="FFFFFF"/>
              <w:left w:val="single" w:sz="18" w:space="0" w:color="FFFFFF"/>
              <w:bottom w:val="single" w:sz="18" w:space="0" w:color="FFFFFF"/>
              <w:right w:val="single" w:sz="18" w:space="0" w:color="FFFFFF"/>
            </w:tcBorders>
            <w:shd w:val="clear" w:color="auto" w:fill="auto"/>
          </w:tcPr>
          <w:p w:rsidR="00FD4D62" w:rsidRPr="00854C8B" w:rsidP="0064368E" w14:paraId="6FF6C249" w14:textId="77777777">
            <w:pPr>
              <w:pStyle w:val="T-Text"/>
              <w:spacing w:before="0" w:after="0"/>
              <w:rPr>
                <w:sz w:val="8"/>
              </w:rPr>
            </w:pPr>
          </w:p>
        </w:tc>
      </w:tr>
      <w:tr w14:paraId="3B3915BB" w14:textId="77777777" w:rsidTr="00F42E21">
        <w:tblPrEx>
          <w:tblW w:w="10777" w:type="dxa"/>
          <w:jc w:val="center"/>
          <w:tblLayout w:type="fixed"/>
          <w:tblLook w:val="04A0"/>
        </w:tblPrEx>
        <w:trPr>
          <w:trHeight w:val="1928"/>
          <w:jc w:val="center"/>
        </w:trPr>
        <w:tc>
          <w:tcPr>
            <w:tcW w:w="2160" w:type="dxa"/>
            <w:tcBorders>
              <w:top w:val="single" w:sz="18" w:space="0" w:color="FFFFFF"/>
              <w:left w:val="single" w:sz="18" w:space="0" w:color="FFFFFF"/>
              <w:bottom w:val="single" w:sz="18" w:space="0" w:color="FFFFFF"/>
              <w:right w:val="single" w:sz="18" w:space="0" w:color="FFFFFF"/>
            </w:tcBorders>
            <w:shd w:val="clear" w:color="auto" w:fill="CE2C43"/>
            <w:vAlign w:val="center"/>
          </w:tcPr>
          <w:p w:rsidR="00FD4D62" w:rsidRPr="00072D41" w:rsidP="0064368E" w14:paraId="547BACA4" w14:textId="77777777">
            <w:pPr>
              <w:pStyle w:val="T-Heading"/>
              <w:spacing w:before="0" w:after="0"/>
            </w:pPr>
            <w:r w:rsidRPr="00072D41">
              <w:t>LOOK-BACK MEASUREMENT METHOD</w:t>
            </w:r>
          </w:p>
        </w:tc>
        <w:tc>
          <w:tcPr>
            <w:tcW w:w="8617" w:type="dxa"/>
            <w:tcBorders>
              <w:top w:val="single" w:sz="18" w:space="0" w:color="FFFFFF"/>
              <w:left w:val="single" w:sz="18" w:space="0" w:color="FFFFFF"/>
              <w:bottom w:val="single" w:sz="18" w:space="0" w:color="FFFFFF"/>
              <w:right w:val="single" w:sz="18" w:space="0" w:color="FFFFFF"/>
            </w:tcBorders>
            <w:shd w:val="clear" w:color="auto" w:fill="F2F2F2"/>
          </w:tcPr>
          <w:p w:rsidR="00FD4D62" w:rsidP="0064368E" w14:paraId="279AEA8B" w14:textId="5A99EDAA">
            <w:pPr>
              <w:pStyle w:val="T-Text"/>
              <w:spacing w:before="80" w:after="80"/>
            </w:pPr>
            <w:r w:rsidRPr="00D54FCD">
              <w:t xml:space="preserve">An optional safe harbor method for determining full-time status that </w:t>
            </w:r>
            <w:r>
              <w:t>can provide</w:t>
            </w:r>
            <w:r w:rsidRPr="00D54FCD">
              <w:t xml:space="preserve"> greater predictability for determining full-time status. The details of th</w:t>
            </w:r>
            <w:r>
              <w:t>is method ar</w:t>
            </w:r>
            <w:r w:rsidRPr="00D54FCD">
              <w:t xml:space="preserve">e based on whether the employees are ongoing or new, and whether new employees are expected to work </w:t>
            </w:r>
            <w:r>
              <w:t xml:space="preserve">full </w:t>
            </w:r>
            <w:r w:rsidRPr="00D54FCD">
              <w:t>time or are v</w:t>
            </w:r>
            <w:r>
              <w:t xml:space="preserve">ariable, seasonal or </w:t>
            </w:r>
            <w:r w:rsidR="008B1CFF">
              <w:t>part-</w:t>
            </w:r>
            <w:r>
              <w:t>time.</w:t>
            </w:r>
          </w:p>
          <w:p w:rsidR="00FD4D62" w:rsidRPr="00D54FCD" w:rsidP="0064368E" w14:paraId="7D249D9A" w14:textId="77777777">
            <w:pPr>
              <w:pStyle w:val="T-Text"/>
              <w:spacing w:before="80" w:after="80"/>
            </w:pPr>
            <w:r w:rsidRPr="00D54FCD">
              <w:t xml:space="preserve">This method involves a </w:t>
            </w:r>
            <w:r w:rsidRPr="00D54FCD">
              <w:rPr>
                <w:b/>
              </w:rPr>
              <w:t>measurement period</w:t>
            </w:r>
            <w:r w:rsidRPr="00D54FCD">
              <w:t xml:space="preserve"> for counting hours of service, an </w:t>
            </w:r>
            <w:r w:rsidRPr="00D54FCD">
              <w:rPr>
                <w:b/>
              </w:rPr>
              <w:t>administrative period</w:t>
            </w:r>
            <w:r w:rsidRPr="00D54FCD">
              <w:t xml:space="preserve"> that allows time for enrollment and disenrollment, and a </w:t>
            </w:r>
            <w:r w:rsidRPr="00D54FCD">
              <w:rPr>
                <w:b/>
              </w:rPr>
              <w:t>stability period</w:t>
            </w:r>
            <w:r w:rsidRPr="00D54FCD">
              <w:t xml:space="preserve"> when coverage may need to be provided, depending on an employee’s average hours of service during the measurement period.</w:t>
            </w:r>
          </w:p>
          <w:p w:rsidR="00FD4D62" w:rsidRPr="00F413AD" w:rsidP="0064368E" w14:paraId="00BF0540" w14:textId="5E3F8506">
            <w:pPr>
              <w:pStyle w:val="T-Text"/>
              <w:spacing w:before="80" w:after="80"/>
              <w:rPr>
                <w:b/>
              </w:rPr>
            </w:pPr>
            <w:r w:rsidRPr="00F413AD">
              <w:rPr>
                <w:b/>
              </w:rPr>
              <w:t>If an employer meets the requirements of the safe harbor, it will not be liable for penalties for employees who work full</w:t>
            </w:r>
            <w:r>
              <w:rPr>
                <w:b/>
              </w:rPr>
              <w:t xml:space="preserve"> </w:t>
            </w:r>
            <w:r w:rsidRPr="00F413AD">
              <w:rPr>
                <w:b/>
              </w:rPr>
              <w:t>time during the stability period if they did not work full-time hours during the measurement period.</w:t>
            </w:r>
          </w:p>
        </w:tc>
      </w:tr>
    </w:tbl>
    <w:p w:rsidR="00FD4D62" w:rsidP="00F42E21" w14:paraId="18038A98" w14:textId="77777777">
      <w:pPr>
        <w:pStyle w:val="BodyText"/>
        <w:spacing w:before="160"/>
      </w:pPr>
      <w:r>
        <w:rPr>
          <w:noProof/>
        </w:rPr>
        <mc:AlternateContent>
          <mc:Choice Requires="wps">
            <w:drawing>
              <wp:inline distT="0" distB="0" distL="0" distR="0">
                <wp:extent cx="6824621" cy="1470991"/>
                <wp:effectExtent l="19050" t="19050" r="14605" b="15240"/>
                <wp:docPr id="54" name="Text Box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4621" cy="1470991"/>
                        </a:xfrm>
                        <a:prstGeom prst="rect">
                          <a:avLst/>
                        </a:prstGeom>
                        <a:solidFill>
                          <a:srgbClr val="F2F2F2"/>
                        </a:solidFill>
                        <a:ln w="28575">
                          <a:solidFill>
                            <a:srgbClr val="CE2C43"/>
                          </a:solidFill>
                          <a:miter lim="800000"/>
                          <a:headEnd/>
                          <a:tailEnd/>
                        </a:ln>
                      </wps:spPr>
                      <wps:txbx>
                        <w:txbxContent>
                          <w:p w:rsidR="00763EB7" w:rsidRPr="00763EB7" w:rsidP="00763EB7" w14:textId="77777777">
                            <w:pPr>
                              <w:pStyle w:val="T-Subheading"/>
                              <w:rPr>
                                <w:color w:val="CE2C43"/>
                              </w:rPr>
                            </w:pPr>
                            <w:r>
                              <w:rPr>
                                <w:color w:val="CE2C43"/>
                              </w:rPr>
                              <w:t>Determine your full-time employees</w:t>
                            </w:r>
                            <w:r w:rsidRPr="00763EB7">
                              <w:rPr>
                                <w:color w:val="CE2C43"/>
                              </w:rPr>
                              <w:t>:</w:t>
                            </w:r>
                          </w:p>
                          <w:p w:rsidR="00F42E21" w:rsidP="00F42E21" w14:textId="77777777">
                            <w:pPr>
                              <w:pStyle w:val="T-BulletList"/>
                            </w:pPr>
                            <w:r w:rsidRPr="00A64411">
                              <w:t>Use the monthly measurement method or the look-back measurement method to confirm that health coverage will be offered to all full-time employees (and dependent children). If you have employees with varying hours, the look-back measurement meth</w:t>
                            </w:r>
                            <w:r>
                              <w:t>od may be the best fit for you.</w:t>
                            </w:r>
                          </w:p>
                          <w:p w:rsidR="00763EB7" w:rsidP="00F42E21" w14:textId="77777777">
                            <w:pPr>
                              <w:pStyle w:val="T-BulletList"/>
                            </w:pPr>
                            <w:r w:rsidRPr="00A64411">
                              <w:t xml:space="preserve">To use the look-back measurement method, you will need to select your measurement, administrative and stability periods. Please contact </w:t>
                            </w:r>
                            <w:r w:rsidRPr="00A64411">
                              <w:t>Foundation Risk Partners</w:t>
                            </w:r>
                            <w:r>
                              <w:t xml:space="preserve"> for more information</w:t>
                            </w:r>
                            <w:r w:rsidRPr="00A64411">
                              <w:t>.</w:t>
                            </w:r>
                          </w:p>
                        </w:txbxContent>
                      </wps:txbx>
                      <wps:bodyPr rot="0" vert="horz" wrap="square" lIns="91440" tIns="45720" rIns="91440" bIns="45720" anchor="t" anchorCtr="0" upright="1"/>
                    </wps:wsp>
                  </a:graphicData>
                </a:graphic>
              </wp:inline>
            </w:drawing>
          </mc:Choice>
          <mc:Fallback>
            <w:pict>
              <v:shape id="Text Box 54" o:spid="_x0000_i1042" type="#_x0000_t202" style="width:537.37pt;height:115.83pt;mso-wrap-distance-bottom:0;mso-wrap-distance-left:0;mso-wrap-distance-right:0;mso-wrap-distance-top:0;v-text-anchor:top" fillcolor="#f2f2f2" stroked="t" strokecolor="#ce2c43" strokeweight="2.25pt">
                <v:textbox>
                  <w:txbxContent>
                    <w:p w:rsidR="00763EB7" w:rsidRPr="00763EB7" w:rsidP="00763EB7" w14:paraId="6C7DDBDE" w14:textId="77777777">
                      <w:pPr>
                        <w:pStyle w:val="T-Subheading"/>
                        <w:rPr>
                          <w:color w:val="CE2C43"/>
                        </w:rPr>
                      </w:pPr>
                      <w:r>
                        <w:rPr>
                          <w:color w:val="CE2C43"/>
                        </w:rPr>
                        <w:t>Determine your full-time employees</w:t>
                      </w:r>
                      <w:r w:rsidRPr="00763EB7">
                        <w:rPr>
                          <w:color w:val="CE2C43"/>
                        </w:rPr>
                        <w:t>:</w:t>
                      </w:r>
                    </w:p>
                    <w:p w:rsidR="00F42E21" w:rsidP="00F42E21" w14:paraId="3368D760" w14:textId="77777777">
                      <w:pPr>
                        <w:pStyle w:val="T-BulletList"/>
                      </w:pPr>
                      <w:r w:rsidRPr="00A64411">
                        <w:t>Use the monthly measurement method or the look-back measurement method to confirm that health coverage will be offered to all full-time employees (and dependent children). If you have employees with varying hours, the look-back measurement meth</w:t>
                      </w:r>
                      <w:r>
                        <w:t>od may be the best fit for you.</w:t>
                      </w:r>
                    </w:p>
                    <w:p w:rsidR="00763EB7" w:rsidP="00F42E21" w14:paraId="581B3DF0" w14:textId="77777777">
                      <w:pPr>
                        <w:pStyle w:val="T-BulletList"/>
                      </w:pPr>
                      <w:r w:rsidRPr="00A64411">
                        <w:t xml:space="preserve">To use the look-back measurement method, you will need to select your measurement, administrative and stability periods. Please contact </w:t>
                      </w:r>
                      <w:r w:rsidRPr="00A64411">
                        <w:t>Foundation Risk Partners</w:t>
                      </w:r>
                      <w:r>
                        <w:t xml:space="preserve"> for more information</w:t>
                      </w:r>
                      <w:r w:rsidRPr="00A64411">
                        <w:t>.</w:t>
                      </w:r>
                    </w:p>
                  </w:txbxContent>
                </v:textbox>
                <w10:anchorlock/>
              </v:shape>
            </w:pict>
          </mc:Fallback>
        </mc:AlternateContent>
      </w:r>
    </w:p>
    <w:p w:rsidR="00FD4D62" w:rsidRPr="006C4B01" w:rsidP="00362823" w14:paraId="5AE8981F" w14:textId="77777777">
      <w:pPr>
        <w:pStyle w:val="SectionedHeader"/>
      </w:pPr>
      <w:r>
        <w:t>Applicable Penalties</w:t>
      </w:r>
    </w:p>
    <w:p w:rsidR="00F42E21" w:rsidP="00FD4D62" w14:paraId="2820D23A" w14:textId="77777777">
      <w:pPr>
        <w:pStyle w:val="BodyText"/>
      </w:pPr>
      <w:r w:rsidRPr="00D54FCD">
        <w:t xml:space="preserve">An ALE is only liable for a penalty under the </w:t>
      </w:r>
      <w:r>
        <w:t>employer shared responsibility</w:t>
      </w:r>
      <w:r w:rsidRPr="00D54FCD">
        <w:t xml:space="preserve"> rules if at least one full-time employee receives a </w:t>
      </w:r>
      <w:r>
        <w:t>subsidy</w:t>
      </w:r>
      <w:r w:rsidRPr="00D54FCD">
        <w:t xml:space="preserve"> for coverage purchased through an Exchange. Employees who are offered health coverage that is affordable and provides </w:t>
      </w:r>
      <w:r>
        <w:t>MV</w:t>
      </w:r>
      <w:r w:rsidRPr="00D54FCD">
        <w:t xml:space="preserve"> are generally not eligible for these Exchange subsidies.</w:t>
      </w:r>
    </w:p>
    <w:p w:rsidR="00F42E21" w:rsidP="00FD4D62" w14:paraId="0CAA3EB6" w14:textId="48C37F5F">
      <w:pPr>
        <w:pStyle w:val="BodyText"/>
      </w:pPr>
      <w:r>
        <w:t>Depending on the circumstances, one of two penalties may apply under the employer shared responsibility rules</w:t>
      </w:r>
      <w:r w:rsidRPr="00B37628">
        <w:t>—</w:t>
      </w:r>
      <w:r>
        <w:t xml:space="preserve">the </w:t>
      </w:r>
      <w:r>
        <w:rPr>
          <w:b/>
        </w:rPr>
        <w:t>4980H(a) penalty</w:t>
      </w:r>
      <w:r>
        <w:t xml:space="preserve"> or the </w:t>
      </w:r>
      <w:r>
        <w:rPr>
          <w:b/>
        </w:rPr>
        <w:t>4980H(b) penalty</w:t>
      </w:r>
      <w:r>
        <w:t>.</w:t>
      </w:r>
    </w:p>
    <w:p w:rsidR="00FD4D62" w:rsidRPr="00362823" w:rsidP="00362823" w14:paraId="7A348882" w14:textId="77777777">
      <w:pPr>
        <w:pStyle w:val="SubHeader"/>
      </w:pPr>
      <w:r w:rsidRPr="00362823">
        <w:t>The 4980H(a) Penalty—Penalty for ALEs not Offering Coverage</w:t>
      </w:r>
    </w:p>
    <w:p w:rsidR="00FD4D62" w:rsidP="00FD4D62" w14:paraId="4C65CC80" w14:textId="00A130FA">
      <w:pPr>
        <w:pStyle w:val="BodyText"/>
      </w:pPr>
      <w:r w:rsidRPr="00073797">
        <w:t xml:space="preserve">Under Section 4980H(a), an ALE will be subject to a penalty if it does not offer coverage to “substantially all” full-time employees (and dependents) and any one of its full-time employees receives a premium tax credit or cost-sharing reduction toward his or her Exchange plan. The 4980H(a) penalty will not apply to an ALE that intends to offer coverage to all of its full-time employees but fails to offer coverage to a few of these employees, regardless of whether the failure to </w:t>
      </w:r>
      <w:r>
        <w:t>offer coverage was inadvertent.</w:t>
      </w:r>
    </w:p>
    <w:p w:rsidR="00FD4D62" w:rsidP="00FD4D62" w14:paraId="78632C47" w14:textId="4CC9CB5C">
      <w:pPr>
        <w:pStyle w:val="BodyText"/>
      </w:pPr>
      <w:r w:rsidRPr="005D41E6">
        <w:t>An ALE will satisfy the requirement to offer minimum essential coverage</w:t>
      </w:r>
      <w:r w:rsidR="00C61642">
        <w:t xml:space="preserve"> (MEC)</w:t>
      </w:r>
      <w:r w:rsidRPr="005D41E6">
        <w:t xml:space="preserve"> to “substantially all” of its full-time employees and their dependents if it offers coverage to </w:t>
      </w:r>
      <w:r w:rsidRPr="005D41E6">
        <w:rPr>
          <w:b/>
        </w:rPr>
        <w:t>at least 95</w:t>
      </w:r>
      <w:r>
        <w:rPr>
          <w:b/>
        </w:rPr>
        <w:t>%</w:t>
      </w:r>
      <w:r w:rsidRPr="005D41E6">
        <w:t>—or fails to offer coverage to no more than 5</w:t>
      </w:r>
      <w:r>
        <w:t>%</w:t>
      </w:r>
      <w:r w:rsidRPr="005D41E6">
        <w:t xml:space="preserve"> (or, if greater, five)—of its full-time employees (and dependents).</w:t>
      </w:r>
      <w:r w:rsidRPr="00073797">
        <w:t xml:space="preserve"> According to the IRS, the alternative margin of five full-time employees is designed to accommodate relatively small </w:t>
      </w:r>
      <w:r>
        <w:t>ALE</w:t>
      </w:r>
      <w:r w:rsidRPr="00073797">
        <w:t>s, because a failure to offer coverage to a handful of full-time employees might exceed 5</w:t>
      </w:r>
      <w:r>
        <w:t>%</w:t>
      </w:r>
      <w:r w:rsidRPr="00073797">
        <w:t xml:space="preserve"> of the </w:t>
      </w:r>
      <w:r>
        <w:t>ALE</w:t>
      </w:r>
      <w:r w:rsidRPr="00073797">
        <w:t>’s full-time employees.</w:t>
      </w:r>
    </w:p>
    <w:p w:rsidR="00FD4D62" w:rsidP="00FD4D62" w14:paraId="0FA6A192" w14:textId="77777777">
      <w:pPr>
        <w:pStyle w:val="BodyText"/>
      </w:pPr>
      <w:r>
        <w:t xml:space="preserve">Under the ACA, the monthly penalty assessed on ALEs that do not offer coverage to substantially all full-time employees and their dependents is equal to </w:t>
      </w:r>
      <w:r w:rsidRPr="00073797">
        <w:rPr>
          <w:b/>
        </w:rPr>
        <w:t>the ALE’s number of full-time employees (minus 30) X 1/12 of $2,000</w:t>
      </w:r>
      <w:r>
        <w:rPr>
          <w:b/>
        </w:rPr>
        <w:t xml:space="preserve"> (as adjusted)</w:t>
      </w:r>
      <w:r w:rsidRPr="00073797">
        <w:rPr>
          <w:b/>
        </w:rPr>
        <w:t>, for any applicable month</w:t>
      </w:r>
      <w:r>
        <w:t>. After 2014, the $2,000 amount is indexed for the calendar year, as follows:</w:t>
      </w:r>
    </w:p>
    <w:tbl>
      <w:tblPr>
        <w:tblW w:w="107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553"/>
        <w:gridCol w:w="1552"/>
        <w:gridCol w:w="1552"/>
        <w:gridCol w:w="1552"/>
        <w:gridCol w:w="1552"/>
        <w:gridCol w:w="1552"/>
        <w:gridCol w:w="1477"/>
      </w:tblGrid>
      <w:tr w14:paraId="5D1A658D" w14:textId="77777777" w:rsidTr="00F42E21">
        <w:tblPrEx>
          <w:tblW w:w="107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1553" w:type="dxa"/>
            <w:shd w:val="clear" w:color="auto" w:fill="F2F2F2"/>
          </w:tcPr>
          <w:p w:rsidR="00F42E21" w:rsidRPr="008A34C6" w:rsidP="006543B4" w14:paraId="06912899" w14:textId="77777777">
            <w:pPr>
              <w:pStyle w:val="T-Text"/>
              <w:spacing w:before="60" w:after="60"/>
              <w:jc w:val="center"/>
              <w:rPr>
                <w:b/>
              </w:rPr>
            </w:pPr>
            <w:r w:rsidRPr="008A34C6">
              <w:rPr>
                <w:b/>
              </w:rPr>
              <w:t xml:space="preserve">$2,080 </w:t>
            </w:r>
            <w:r w:rsidRPr="008A34C6">
              <w:t>for 2015</w:t>
            </w:r>
          </w:p>
        </w:tc>
        <w:tc>
          <w:tcPr>
            <w:tcW w:w="1552" w:type="dxa"/>
            <w:shd w:val="clear" w:color="auto" w:fill="D0CECE"/>
          </w:tcPr>
          <w:p w:rsidR="00F42E21" w:rsidRPr="008A34C6" w:rsidP="006543B4" w14:paraId="09CF1ECC" w14:textId="77777777">
            <w:pPr>
              <w:pStyle w:val="T-Text"/>
              <w:spacing w:before="60" w:after="60"/>
              <w:jc w:val="center"/>
              <w:rPr>
                <w:b/>
              </w:rPr>
            </w:pPr>
            <w:r w:rsidRPr="008A34C6">
              <w:rPr>
                <w:b/>
              </w:rPr>
              <w:t xml:space="preserve">$2,160 </w:t>
            </w:r>
            <w:r w:rsidRPr="008A34C6">
              <w:t>for 2016</w:t>
            </w:r>
          </w:p>
        </w:tc>
        <w:tc>
          <w:tcPr>
            <w:tcW w:w="1552" w:type="dxa"/>
            <w:shd w:val="clear" w:color="auto" w:fill="F2F2F2"/>
          </w:tcPr>
          <w:p w:rsidR="00F42E21" w:rsidRPr="008A34C6" w:rsidP="006543B4" w14:paraId="69DD27D6" w14:textId="77777777">
            <w:pPr>
              <w:pStyle w:val="T-Text"/>
              <w:spacing w:before="60" w:after="60"/>
              <w:jc w:val="center"/>
              <w:rPr>
                <w:b/>
              </w:rPr>
            </w:pPr>
            <w:r w:rsidRPr="008A34C6">
              <w:rPr>
                <w:b/>
              </w:rPr>
              <w:t xml:space="preserve">$2,260 </w:t>
            </w:r>
            <w:r w:rsidRPr="008A34C6">
              <w:t>for 2017</w:t>
            </w:r>
          </w:p>
        </w:tc>
        <w:tc>
          <w:tcPr>
            <w:tcW w:w="1552" w:type="dxa"/>
            <w:shd w:val="clear" w:color="auto" w:fill="D0CECE"/>
          </w:tcPr>
          <w:p w:rsidR="00F42E21" w:rsidRPr="005548B7" w:rsidP="006543B4" w14:paraId="644E31A1" w14:textId="77777777">
            <w:pPr>
              <w:pStyle w:val="T-Text"/>
              <w:spacing w:before="60" w:after="60"/>
              <w:jc w:val="center"/>
            </w:pPr>
            <w:r>
              <w:rPr>
                <w:b/>
              </w:rPr>
              <w:t>$2,320</w:t>
            </w:r>
            <w:r>
              <w:t xml:space="preserve"> for 2018</w:t>
            </w:r>
          </w:p>
        </w:tc>
        <w:tc>
          <w:tcPr>
            <w:tcW w:w="1552" w:type="dxa"/>
            <w:shd w:val="clear" w:color="auto" w:fill="F2F2F2"/>
          </w:tcPr>
          <w:p w:rsidR="00F42E21" w:rsidRPr="004459AD" w:rsidP="006543B4" w14:paraId="26D2D51E" w14:textId="77777777">
            <w:pPr>
              <w:pStyle w:val="T-Text"/>
              <w:spacing w:before="60" w:after="60"/>
              <w:jc w:val="center"/>
            </w:pPr>
            <w:r>
              <w:rPr>
                <w:b/>
              </w:rPr>
              <w:t>$2,500</w:t>
            </w:r>
            <w:r>
              <w:t xml:space="preserve"> for 2019</w:t>
            </w:r>
          </w:p>
        </w:tc>
        <w:tc>
          <w:tcPr>
            <w:tcW w:w="1552" w:type="dxa"/>
            <w:shd w:val="clear" w:color="auto" w:fill="D0CECE"/>
          </w:tcPr>
          <w:p w:rsidR="00F42E21" w:rsidRPr="004459AD" w:rsidP="006543B4" w14:paraId="01469B65" w14:textId="77777777">
            <w:pPr>
              <w:pStyle w:val="T-Text"/>
              <w:spacing w:before="60" w:after="60"/>
              <w:jc w:val="center"/>
            </w:pPr>
            <w:r>
              <w:rPr>
                <w:b/>
              </w:rPr>
              <w:t>$2,570</w:t>
            </w:r>
            <w:r>
              <w:t xml:space="preserve"> for 2020</w:t>
            </w:r>
          </w:p>
        </w:tc>
        <w:tc>
          <w:tcPr>
            <w:tcW w:w="1477" w:type="dxa"/>
            <w:shd w:val="clear" w:color="auto" w:fill="F2F2F2"/>
          </w:tcPr>
          <w:p w:rsidR="00F42E21" w:rsidRPr="00F42E21" w:rsidP="006543B4" w14:paraId="0CC42DB6" w14:textId="77777777">
            <w:pPr>
              <w:pStyle w:val="T-Text"/>
              <w:spacing w:before="60" w:after="60"/>
              <w:jc w:val="center"/>
            </w:pPr>
            <w:r>
              <w:rPr>
                <w:b/>
              </w:rPr>
              <w:t>$2,700</w:t>
            </w:r>
            <w:r>
              <w:t xml:space="preserve"> for 2021</w:t>
            </w:r>
          </w:p>
        </w:tc>
      </w:tr>
    </w:tbl>
    <w:p w:rsidR="007A1E50" w:rsidP="007A1E50" w14:paraId="302E46BB" w14:textId="60ACF40C">
      <w:pPr>
        <w:pStyle w:val="BodyText"/>
        <w:spacing w:before="160"/>
      </w:pPr>
      <w:r>
        <w:t>The adjusted Section 4980H(a) penalty amount for 2022 has not been announced yet.</w:t>
      </w:r>
    </w:p>
    <w:p w:rsidR="00FD4D62" w:rsidRPr="00362823" w:rsidP="00362823" w14:paraId="58B6ADAC" w14:textId="05EB5526">
      <w:pPr>
        <w:pStyle w:val="SubHeader"/>
      </w:pPr>
      <w:r w:rsidRPr="00362823">
        <w:t>The 4980H(b) Penalty—Penalty for ALEs Offering Coverage</w:t>
      </w:r>
    </w:p>
    <w:p w:rsidR="00FD4D62" w:rsidRPr="00073797" w:rsidP="00FD4D62" w14:paraId="733180BD" w14:textId="77777777">
      <w:pPr>
        <w:pStyle w:val="BodyText"/>
      </w:pPr>
      <w:r>
        <w:t>ALEs that do offer coverage to substantially all full-time employees (and dependents) may still be subject to penalties if at least one full-time employee obtains a subsidy through an Exchange because:</w:t>
      </w:r>
    </w:p>
    <w:p w:rsidR="00FD4D62" w:rsidP="00F42E21" w14:paraId="4D24CA05" w14:textId="77777777">
      <w:pPr>
        <w:pStyle w:val="Bullet"/>
      </w:pPr>
      <w:r>
        <w:t>The ALE did not offer coverage to all full-time employees; or</w:t>
      </w:r>
    </w:p>
    <w:p w:rsidR="00FD4D62" w:rsidP="00F42E21" w14:paraId="1767094C" w14:textId="77777777">
      <w:pPr>
        <w:pStyle w:val="Bullet"/>
      </w:pPr>
      <w:r>
        <w:t xml:space="preserve">The ALE’s coverage is unaffordable or does not </w:t>
      </w:r>
      <w:r>
        <w:t>provide</w:t>
      </w:r>
      <w:r>
        <w:t xml:space="preserve"> minimum value.</w:t>
      </w:r>
    </w:p>
    <w:p w:rsidR="00FD4D62" w:rsidP="00FD4D62" w14:paraId="66DC562A" w14:textId="77777777">
      <w:pPr>
        <w:pStyle w:val="BodyText"/>
      </w:pPr>
      <w:r>
        <w:t xml:space="preserve">The monthly penalty assessed on an ALE for each full-time employee who receives a subsidy is </w:t>
      </w:r>
      <w:r w:rsidRPr="00073797">
        <w:rPr>
          <w:b/>
        </w:rPr>
        <w:t>1/12 of $3,000</w:t>
      </w:r>
      <w:r>
        <w:rPr>
          <w:b/>
        </w:rPr>
        <w:t xml:space="preserve"> (as adjusted)</w:t>
      </w:r>
      <w:r w:rsidRPr="00073797">
        <w:rPr>
          <w:b/>
        </w:rPr>
        <w:t xml:space="preserve"> for any applicable month</w:t>
      </w:r>
      <w:r>
        <w:t>. However, the total penalty for an ALE is limited to the 4980H(a) penalty amount. After 2014, the $3,000 amount is indexed as follows:</w:t>
      </w:r>
    </w:p>
    <w:tbl>
      <w:tblPr>
        <w:tblW w:w="107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552"/>
        <w:gridCol w:w="1552"/>
        <w:gridCol w:w="1552"/>
        <w:gridCol w:w="1552"/>
        <w:gridCol w:w="1552"/>
        <w:gridCol w:w="1552"/>
        <w:gridCol w:w="1478"/>
      </w:tblGrid>
      <w:tr w14:paraId="354E543C" w14:textId="77777777" w:rsidTr="00F42E21">
        <w:tblPrEx>
          <w:tblW w:w="1079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Ex>
        <w:trPr>
          <w:jc w:val="center"/>
        </w:trPr>
        <w:tc>
          <w:tcPr>
            <w:tcW w:w="1552" w:type="dxa"/>
            <w:shd w:val="clear" w:color="auto" w:fill="F2F2F2"/>
          </w:tcPr>
          <w:p w:rsidR="00F42E21" w:rsidRPr="008A34C6" w:rsidP="006543B4" w14:paraId="2DE273E2" w14:textId="77777777">
            <w:pPr>
              <w:pStyle w:val="T-Text"/>
              <w:spacing w:before="60" w:after="60"/>
              <w:jc w:val="center"/>
              <w:rPr>
                <w:b/>
              </w:rPr>
            </w:pPr>
            <w:r w:rsidRPr="008A34C6">
              <w:rPr>
                <w:b/>
              </w:rPr>
              <w:t xml:space="preserve">$3,120 </w:t>
            </w:r>
            <w:r w:rsidRPr="008A34C6">
              <w:t>for 2015</w:t>
            </w:r>
          </w:p>
        </w:tc>
        <w:tc>
          <w:tcPr>
            <w:tcW w:w="1552" w:type="dxa"/>
            <w:shd w:val="clear" w:color="auto" w:fill="D0CECE"/>
          </w:tcPr>
          <w:p w:rsidR="00F42E21" w:rsidRPr="008A34C6" w:rsidP="006543B4" w14:paraId="63846AC8" w14:textId="77777777">
            <w:pPr>
              <w:pStyle w:val="T-Text"/>
              <w:spacing w:before="60" w:after="60"/>
              <w:jc w:val="center"/>
              <w:rPr>
                <w:b/>
              </w:rPr>
            </w:pPr>
            <w:r w:rsidRPr="008A34C6">
              <w:rPr>
                <w:b/>
              </w:rPr>
              <w:t xml:space="preserve">$3,240 </w:t>
            </w:r>
            <w:r w:rsidRPr="008A34C6">
              <w:t>for 2016</w:t>
            </w:r>
          </w:p>
        </w:tc>
        <w:tc>
          <w:tcPr>
            <w:tcW w:w="1552" w:type="dxa"/>
            <w:shd w:val="clear" w:color="auto" w:fill="F2F2F2"/>
          </w:tcPr>
          <w:p w:rsidR="00F42E21" w:rsidRPr="008A34C6" w:rsidP="006543B4" w14:paraId="6A017802" w14:textId="77777777">
            <w:pPr>
              <w:pStyle w:val="T-Text"/>
              <w:spacing w:before="60" w:after="60"/>
              <w:jc w:val="center"/>
              <w:rPr>
                <w:b/>
              </w:rPr>
            </w:pPr>
            <w:r w:rsidRPr="008A34C6">
              <w:rPr>
                <w:b/>
              </w:rPr>
              <w:t xml:space="preserve">$3,390 </w:t>
            </w:r>
            <w:r w:rsidRPr="008A34C6">
              <w:t>for 2017</w:t>
            </w:r>
          </w:p>
        </w:tc>
        <w:tc>
          <w:tcPr>
            <w:tcW w:w="1552" w:type="dxa"/>
            <w:shd w:val="clear" w:color="auto" w:fill="D0CECE"/>
          </w:tcPr>
          <w:p w:rsidR="00F42E21" w:rsidRPr="005548B7" w:rsidP="006543B4" w14:paraId="5565E082" w14:textId="77777777">
            <w:pPr>
              <w:pStyle w:val="T-Text"/>
              <w:spacing w:before="60" w:after="60"/>
              <w:jc w:val="center"/>
            </w:pPr>
            <w:r>
              <w:rPr>
                <w:b/>
              </w:rPr>
              <w:t>$3,480</w:t>
            </w:r>
            <w:r>
              <w:t xml:space="preserve"> for 2018</w:t>
            </w:r>
          </w:p>
        </w:tc>
        <w:tc>
          <w:tcPr>
            <w:tcW w:w="1552" w:type="dxa"/>
            <w:shd w:val="clear" w:color="auto" w:fill="F2F2F2"/>
          </w:tcPr>
          <w:p w:rsidR="00F42E21" w:rsidRPr="004459AD" w:rsidP="006543B4" w14:paraId="4062B7C3" w14:textId="77777777">
            <w:pPr>
              <w:pStyle w:val="T-Text"/>
              <w:spacing w:before="60" w:after="60"/>
              <w:jc w:val="center"/>
            </w:pPr>
            <w:r>
              <w:rPr>
                <w:b/>
              </w:rPr>
              <w:t>$3,750</w:t>
            </w:r>
            <w:r>
              <w:t xml:space="preserve"> for 2019</w:t>
            </w:r>
          </w:p>
        </w:tc>
        <w:tc>
          <w:tcPr>
            <w:tcW w:w="1552" w:type="dxa"/>
            <w:shd w:val="clear" w:color="auto" w:fill="D0CECE"/>
          </w:tcPr>
          <w:p w:rsidR="00F42E21" w:rsidRPr="004459AD" w:rsidP="006543B4" w14:paraId="26309A32" w14:textId="77777777">
            <w:pPr>
              <w:pStyle w:val="T-Text"/>
              <w:spacing w:before="60" w:after="60"/>
              <w:jc w:val="center"/>
            </w:pPr>
            <w:r>
              <w:rPr>
                <w:b/>
              </w:rPr>
              <w:t>$3,860</w:t>
            </w:r>
            <w:r>
              <w:t xml:space="preserve"> for 2020</w:t>
            </w:r>
          </w:p>
        </w:tc>
        <w:tc>
          <w:tcPr>
            <w:tcW w:w="1478" w:type="dxa"/>
            <w:shd w:val="clear" w:color="auto" w:fill="F2F2F2"/>
          </w:tcPr>
          <w:p w:rsidR="00F42E21" w:rsidRPr="00F42E21" w:rsidP="006543B4" w14:paraId="31982849" w14:textId="77777777">
            <w:pPr>
              <w:pStyle w:val="T-Text"/>
              <w:spacing w:before="60" w:after="60"/>
              <w:jc w:val="center"/>
            </w:pPr>
            <w:r>
              <w:rPr>
                <w:b/>
              </w:rPr>
              <w:t>$4,060</w:t>
            </w:r>
            <w:r>
              <w:t xml:space="preserve"> for 2021</w:t>
            </w:r>
          </w:p>
        </w:tc>
      </w:tr>
    </w:tbl>
    <w:p w:rsidR="007A1E50" w:rsidP="007A1E50" w14:paraId="255A4279" w14:textId="450E814A">
      <w:pPr>
        <w:pStyle w:val="BodyText"/>
        <w:spacing w:before="160"/>
      </w:pPr>
      <w:r>
        <w:t>The adjusted Section 4980H(b) penalty amount for 2022 has not been announced yet.</w:t>
      </w:r>
    </w:p>
    <w:p w:rsidR="00FD4D62" w:rsidRPr="00F42E21" w:rsidP="00362823" w14:paraId="190241DD" w14:textId="234B932F">
      <w:pPr>
        <w:pStyle w:val="SectionedHeader"/>
      </w:pPr>
      <w:r w:rsidRPr="00F42E21">
        <w:t>Affordability of Coverage</w:t>
      </w:r>
    </w:p>
    <w:p w:rsidR="00FD4D62" w:rsidP="00FD4D62" w14:paraId="06A57A61" w14:textId="597F4259">
      <w:pPr>
        <w:pStyle w:val="BodyText"/>
      </w:pPr>
      <w:r w:rsidRPr="00D54FCD">
        <w:t xml:space="preserve">Under the ACA, an </w:t>
      </w:r>
      <w:r>
        <w:t>ALE</w:t>
      </w:r>
      <w:r w:rsidRPr="00D54FCD">
        <w:t xml:space="preserve">’s health coverage is considered affordable if the employee’s required contribution to the plan does not exceed </w:t>
      </w:r>
      <w:r w:rsidRPr="00D54FCD">
        <w:rPr>
          <w:b/>
        </w:rPr>
        <w:t>9.5</w:t>
      </w:r>
      <w:r>
        <w:rPr>
          <w:b/>
        </w:rPr>
        <w:t>%</w:t>
      </w:r>
      <w:r w:rsidRPr="00D54FCD">
        <w:t xml:space="preserve"> of the employee’s household income for the taxable year (</w:t>
      </w:r>
      <w:r>
        <w:t xml:space="preserve">as </w:t>
      </w:r>
      <w:r w:rsidRPr="00D54FCD">
        <w:t xml:space="preserve">adjusted </w:t>
      </w:r>
      <w:r>
        <w:t>each year</w:t>
      </w:r>
      <w:r w:rsidRPr="00D54FCD">
        <w:t xml:space="preserve">). </w:t>
      </w:r>
      <w:r>
        <w:t xml:space="preserve">The adjusted percentage is </w:t>
      </w:r>
      <w:r w:rsidRPr="004370D2">
        <w:rPr>
          <w:b/>
        </w:rPr>
        <w:t>9.</w:t>
      </w:r>
      <w:r w:rsidR="007A1E50">
        <w:rPr>
          <w:b/>
        </w:rPr>
        <w:t>61</w:t>
      </w:r>
      <w:r>
        <w:rPr>
          <w:b/>
        </w:rPr>
        <w:t>%</w:t>
      </w:r>
      <w:r>
        <w:t xml:space="preserve"> for 202</w:t>
      </w:r>
      <w:r w:rsidR="007A1E50">
        <w:t>2</w:t>
      </w:r>
      <w:r>
        <w:t>.</w:t>
      </w:r>
      <w:r w:rsidR="007A1E50">
        <w:t xml:space="preserve"> </w:t>
      </w:r>
      <w:r w:rsidRPr="006F00FE" w:rsidR="007A1E50">
        <w:rPr>
          <w:b/>
        </w:rPr>
        <w:t xml:space="preserve">This is </w:t>
      </w:r>
      <w:r w:rsidR="007A1E50">
        <w:rPr>
          <w:b/>
        </w:rPr>
        <w:t>a significant decrease from the affordability contribution percentage for 2021</w:t>
      </w:r>
      <w:r w:rsidR="007A1E50">
        <w:t>, which was set at 9.83%. As a result, some employers may have</w:t>
      </w:r>
      <w:r w:rsidRPr="007A1E50" w:rsidR="007A1E50">
        <w:t xml:space="preserve"> </w:t>
      </w:r>
      <w:r w:rsidR="007A1E50">
        <w:t>to lower their employee contributions for 2022 to meet the adjusted percentage.</w:t>
      </w:r>
    </w:p>
    <w:p w:rsidR="00FD4D62" w:rsidRPr="00F413AD" w:rsidP="00FD4D62" w14:paraId="15548C78" w14:textId="77777777">
      <w:pPr>
        <w:pStyle w:val="BodyText"/>
      </w:pPr>
      <w:r w:rsidRPr="00D54FCD">
        <w:t>“Household income” means the modified adjusted gross income of the employee and any members of the employee’s family.</w:t>
      </w:r>
      <w:r>
        <w:t xml:space="preserve"> </w:t>
      </w:r>
      <w:r w:rsidRPr="00D54FCD">
        <w:t xml:space="preserve">Because an employer generally will not know an employee’s household income, the IRS provided three affordability safe harbors that </w:t>
      </w:r>
      <w:r>
        <w:t>ALE</w:t>
      </w:r>
      <w:r w:rsidRPr="00D54FCD">
        <w:t xml:space="preserve">s may use to determine affordability based on information that is available to them. These safe harbors allow an </w:t>
      </w:r>
      <w:r>
        <w:t>ALE</w:t>
      </w:r>
      <w:r w:rsidRPr="00D54FCD">
        <w:t xml:space="preserve"> to measure a</w:t>
      </w:r>
      <w:r>
        <w:t xml:space="preserve">ffordability based on the employee’s </w:t>
      </w:r>
      <w:r>
        <w:rPr>
          <w:b/>
        </w:rPr>
        <w:t xml:space="preserve">Form </w:t>
      </w:r>
      <w:r w:rsidRPr="00D62AB2">
        <w:rPr>
          <w:b/>
        </w:rPr>
        <w:t>W-2 wages</w:t>
      </w:r>
      <w:r>
        <w:t xml:space="preserve">, the employee’s </w:t>
      </w:r>
      <w:r w:rsidRPr="00D62AB2">
        <w:rPr>
          <w:b/>
        </w:rPr>
        <w:t>rate of pay</w:t>
      </w:r>
      <w:r w:rsidRPr="00F413AD">
        <w:t xml:space="preserve"> or</w:t>
      </w:r>
      <w:r>
        <w:t xml:space="preserve"> t</w:t>
      </w:r>
      <w:r w:rsidRPr="00F413AD">
        <w:t xml:space="preserve">he </w:t>
      </w:r>
      <w:r w:rsidRPr="00D62AB2">
        <w:rPr>
          <w:b/>
        </w:rPr>
        <w:t>federal poverty level</w:t>
      </w:r>
      <w:r w:rsidRPr="00F413AD">
        <w:t xml:space="preserve"> for a single individual.</w:t>
      </w:r>
      <w:r>
        <w:t xml:space="preserve"> </w:t>
      </w:r>
      <w:r w:rsidRPr="00D62AB2">
        <w:t xml:space="preserve">ALEs using an affordability safe harbor may rely on the adjusted </w:t>
      </w:r>
      <w:r>
        <w:t>affordability contribution percentages</w:t>
      </w:r>
      <w:r w:rsidRPr="00D62AB2">
        <w:t>.</w:t>
      </w:r>
    </w:p>
    <w:p w:rsidR="00FD4D62" w:rsidRPr="00F42E21" w:rsidP="00362823" w14:paraId="679D9808" w14:textId="77777777">
      <w:pPr>
        <w:pStyle w:val="SectionedHeader"/>
      </w:pPr>
      <w:r w:rsidRPr="00F42E21">
        <w:t>Minimum Value</w:t>
      </w:r>
    </w:p>
    <w:p w:rsidR="00FD4D62" w:rsidRPr="00F413AD" w:rsidP="00FD4D62" w14:paraId="23DE4CD7" w14:textId="77777777">
      <w:pPr>
        <w:pStyle w:val="BodyText"/>
      </w:pPr>
      <w:r w:rsidRPr="00D54FCD">
        <w:t xml:space="preserve">Under the ACA, a plan provides </w:t>
      </w:r>
      <w:r>
        <w:t>MV</w:t>
      </w:r>
      <w:r w:rsidRPr="00D54FCD">
        <w:t xml:space="preserve"> if the plan’s share of total allowed costs of benefits provided under the plan is </w:t>
      </w:r>
      <w:r w:rsidRPr="00D54FCD">
        <w:rPr>
          <w:b/>
        </w:rPr>
        <w:t>at least 60</w:t>
      </w:r>
      <w:r>
        <w:rPr>
          <w:b/>
        </w:rPr>
        <w:t>%</w:t>
      </w:r>
      <w:r w:rsidRPr="00D54FCD">
        <w:t xml:space="preserve"> of those costs. Three approaches</w:t>
      </w:r>
      <w:r>
        <w:t xml:space="preserve"> may be used</w:t>
      </w:r>
      <w:r w:rsidRPr="00D54FCD">
        <w:t xml:space="preserve"> for determining </w:t>
      </w:r>
      <w:r>
        <w:t>MV</w:t>
      </w:r>
      <w:r w:rsidRPr="00D54FCD">
        <w:t>:</w:t>
      </w:r>
      <w:r>
        <w:t xml:space="preserve"> </w:t>
      </w:r>
      <w:r>
        <w:t>a</w:t>
      </w:r>
      <w:r>
        <w:t xml:space="preserve"> </w:t>
      </w:r>
      <w:r>
        <w:rPr>
          <w:b/>
        </w:rPr>
        <w:t>Minimum Value (MV) Calculator</w:t>
      </w:r>
      <w:r>
        <w:t xml:space="preserve">, </w:t>
      </w:r>
      <w:r>
        <w:rPr>
          <w:b/>
        </w:rPr>
        <w:t>design-based safe harbor checklists</w:t>
      </w:r>
      <w:r>
        <w:t xml:space="preserve"> or </w:t>
      </w:r>
      <w:r>
        <w:rPr>
          <w:b/>
        </w:rPr>
        <w:t>actuarial certification</w:t>
      </w:r>
      <w:r>
        <w:t xml:space="preserve">. </w:t>
      </w:r>
      <w:r w:rsidRPr="00D54FCD">
        <w:t xml:space="preserve">In addition, any plan in the small group market that meets any of the “metal levels” of coverage (that is, bronze, silver, gold or platinum) provides </w:t>
      </w:r>
      <w:r>
        <w:t>MV</w:t>
      </w:r>
      <w:r w:rsidRPr="00D54FCD">
        <w:t>.</w:t>
      </w:r>
    </w:p>
    <w:p w:rsidR="00FD4D62" w:rsidP="00FD4D62" w14:paraId="22369718" w14:textId="6A965312">
      <w:pPr>
        <w:pStyle w:val="BodyText"/>
      </w:pPr>
      <w:r>
        <w:t>In addition,</w:t>
      </w:r>
      <w:r w:rsidRPr="00D54FCD">
        <w:t xml:space="preserve"> plans that do not provide inpatient hospitalization or physician services (referred to as </w:t>
      </w:r>
      <w:r>
        <w:t>n</w:t>
      </w:r>
      <w:r w:rsidRPr="00D54FCD">
        <w:t>on-</w:t>
      </w:r>
      <w:r>
        <w:t>h</w:t>
      </w:r>
      <w:r w:rsidRPr="00D54FCD">
        <w:t>ospital/</w:t>
      </w:r>
      <w:r>
        <w:t>n</w:t>
      </w:r>
      <w:r w:rsidRPr="00D54FCD">
        <w:t>on-</w:t>
      </w:r>
      <w:r>
        <w:t>p</w:t>
      </w:r>
      <w:r w:rsidRPr="00D54FCD">
        <w:t xml:space="preserve">hysician </w:t>
      </w:r>
      <w:r>
        <w:t>s</w:t>
      </w:r>
      <w:r w:rsidRPr="00D54FCD">
        <w:t xml:space="preserve">ervices </w:t>
      </w:r>
      <w:r>
        <w:t>p</w:t>
      </w:r>
      <w:r w:rsidRPr="000D0CF2">
        <w:t>lans</w:t>
      </w:r>
      <w:r w:rsidRPr="00D54FCD">
        <w:t xml:space="preserve">) </w:t>
      </w:r>
      <w:r w:rsidRPr="00D54FCD">
        <w:rPr>
          <w:b/>
        </w:rPr>
        <w:t xml:space="preserve">do not provide </w:t>
      </w:r>
      <w:r>
        <w:rPr>
          <w:b/>
        </w:rPr>
        <w:t>MV</w:t>
      </w:r>
      <w:r w:rsidRPr="00D54FCD">
        <w:t xml:space="preserve">. </w:t>
      </w:r>
      <w:r>
        <w:t xml:space="preserve">An employer may not use the MV Calculator (or any actuarial certification or valuation) to demonstrate that a non-hospital/non-physician services plan provides MV. As a result, </w:t>
      </w:r>
      <w:r w:rsidRPr="00867B47">
        <w:rPr>
          <w:b/>
        </w:rPr>
        <w:t xml:space="preserve">a </w:t>
      </w:r>
      <w:r>
        <w:rPr>
          <w:b/>
        </w:rPr>
        <w:t>n</w:t>
      </w:r>
      <w:r w:rsidRPr="00867B47">
        <w:rPr>
          <w:b/>
        </w:rPr>
        <w:t>on-</w:t>
      </w:r>
      <w:r>
        <w:rPr>
          <w:b/>
        </w:rPr>
        <w:t>h</w:t>
      </w:r>
      <w:r w:rsidRPr="00867B47">
        <w:rPr>
          <w:b/>
        </w:rPr>
        <w:t>ospital/</w:t>
      </w:r>
      <w:r>
        <w:rPr>
          <w:b/>
        </w:rPr>
        <w:t>n</w:t>
      </w:r>
      <w:r w:rsidRPr="00867B47">
        <w:rPr>
          <w:b/>
        </w:rPr>
        <w:t>on-</w:t>
      </w:r>
      <w:r>
        <w:rPr>
          <w:b/>
        </w:rPr>
        <w:t>p</w:t>
      </w:r>
      <w:r w:rsidRPr="00867B47">
        <w:rPr>
          <w:b/>
        </w:rPr>
        <w:t xml:space="preserve">hysician </w:t>
      </w:r>
      <w:r>
        <w:rPr>
          <w:b/>
        </w:rPr>
        <w:t>s</w:t>
      </w:r>
      <w:r w:rsidRPr="00867B47">
        <w:rPr>
          <w:b/>
        </w:rPr>
        <w:t xml:space="preserve">ervices </w:t>
      </w:r>
      <w:r>
        <w:rPr>
          <w:b/>
        </w:rPr>
        <w:t>p</w:t>
      </w:r>
      <w:r w:rsidRPr="00867B47">
        <w:rPr>
          <w:b/>
        </w:rPr>
        <w:t>lan should not be adopted for the 201</w:t>
      </w:r>
      <w:r>
        <w:rPr>
          <w:b/>
        </w:rPr>
        <w:t>5</w:t>
      </w:r>
      <w:r w:rsidRPr="00867B47">
        <w:rPr>
          <w:b/>
        </w:rPr>
        <w:t xml:space="preserve"> plan year</w:t>
      </w:r>
      <w:r>
        <w:rPr>
          <w:b/>
        </w:rPr>
        <w:t xml:space="preserve"> or beyond</w:t>
      </w:r>
      <w:r>
        <w:t>.</w:t>
      </w:r>
    </w:p>
    <w:p w:rsidR="00FD4D62" w:rsidP="00F42E21" w14:paraId="234F3608" w14:textId="325E3FB6">
      <w:pPr>
        <w:pStyle w:val="BodyText"/>
      </w:pPr>
      <w:r>
        <w:rPr>
          <w:noProof/>
        </w:rPr>
        <mc:AlternateContent>
          <mc:Choice Requires="wps">
            <w:drawing>
              <wp:inline distT="0" distB="0" distL="0" distR="0">
                <wp:extent cx="6824621" cy="1335819"/>
                <wp:effectExtent l="19050" t="19050" r="14605" b="17145"/>
                <wp:docPr id="55" name="Text Box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4621" cy="1335819"/>
                        </a:xfrm>
                        <a:prstGeom prst="rect">
                          <a:avLst/>
                        </a:prstGeom>
                        <a:solidFill>
                          <a:srgbClr val="F2F2F2"/>
                        </a:solidFill>
                        <a:ln w="28575">
                          <a:solidFill>
                            <a:srgbClr val="CE2C43"/>
                          </a:solidFill>
                          <a:miter lim="800000"/>
                          <a:headEnd/>
                          <a:tailEnd/>
                        </a:ln>
                      </wps:spPr>
                      <wps:txbx>
                        <w:txbxContent>
                          <w:p w:rsidR="00763EB7" w:rsidRPr="00763EB7" w:rsidP="00763EB7" w14:textId="7721DB52">
                            <w:pPr>
                              <w:pStyle w:val="T-Subheading"/>
                              <w:rPr>
                                <w:color w:val="CE2C43"/>
                              </w:rPr>
                            </w:pPr>
                            <w:r>
                              <w:rPr>
                                <w:color w:val="CE2C43"/>
                              </w:rPr>
                              <w:t>Calculate potential penalties for 202</w:t>
                            </w:r>
                            <w:r w:rsidR="007A1E50">
                              <w:rPr>
                                <w:color w:val="CE2C43"/>
                              </w:rPr>
                              <w:t>1</w:t>
                            </w:r>
                            <w:r>
                              <w:rPr>
                                <w:color w:val="CE2C43"/>
                              </w:rPr>
                              <w:t xml:space="preserve"> and/or 202</w:t>
                            </w:r>
                            <w:r w:rsidR="007A1E50">
                              <w:rPr>
                                <w:color w:val="CE2C43"/>
                              </w:rPr>
                              <w:t>2</w:t>
                            </w:r>
                            <w:r w:rsidRPr="00763EB7">
                              <w:rPr>
                                <w:color w:val="CE2C43"/>
                              </w:rPr>
                              <w:t>:</w:t>
                            </w:r>
                          </w:p>
                          <w:p w:rsidR="00F42E21" w:rsidRPr="00075345" w:rsidP="00F42E21" w14:textId="77777777">
                            <w:pPr>
                              <w:pStyle w:val="T-BulletList"/>
                            </w:pPr>
                            <w:r w:rsidRPr="00D62AB2">
                              <w:t>Review the cost of your health plan coverage to determine whether it’s affordable for your employees by using one or more of the affordability safe harbors.</w:t>
                            </w:r>
                          </w:p>
                          <w:p w:rsidR="00F42E21" w:rsidRPr="00075345" w:rsidP="00F42E21" w14:textId="77777777">
                            <w:pPr>
                              <w:pStyle w:val="T-BulletList"/>
                            </w:pPr>
                            <w:r w:rsidRPr="00D62AB2">
                              <w:t>Determine whether the plan provides MV by using one of the four available methods</w:t>
                            </w:r>
                            <w:r w:rsidRPr="00075345">
                              <w:t>.</w:t>
                            </w:r>
                          </w:p>
                          <w:p w:rsidR="00763EB7" w:rsidP="00F42E21" w14:textId="77777777">
                            <w:pPr>
                              <w:pStyle w:val="T-BulletList"/>
                            </w:pPr>
                            <w:r w:rsidRPr="00D62AB2">
                              <w:t>Calculate any penalties that may apply</w:t>
                            </w:r>
                            <w:r>
                              <w:t xml:space="preserve"> under these rules</w:t>
                            </w:r>
                            <w:r w:rsidRPr="00D62AB2">
                              <w:t xml:space="preserve"> using the formulas above</w:t>
                            </w:r>
                            <w:r>
                              <w:t>.</w:t>
                            </w:r>
                          </w:p>
                        </w:txbxContent>
                      </wps:txbx>
                      <wps:bodyPr rot="0" vert="horz" wrap="square" lIns="91440" tIns="45720" rIns="91440" bIns="45720" anchor="t" anchorCtr="0" upright="1"/>
                    </wps:wsp>
                  </a:graphicData>
                </a:graphic>
              </wp:inline>
            </w:drawing>
          </mc:Choice>
          <mc:Fallback>
            <w:pict>
              <v:shape id="Text Box 55" o:spid="_x0000_i1043" type="#_x0000_t202" style="width:537.37pt;height:105.18pt;mso-wrap-distance-bottom:0;mso-wrap-distance-left:0;mso-wrap-distance-right:0;mso-wrap-distance-top:0;v-text-anchor:top" fillcolor="#f2f2f2" stroked="t" strokecolor="#ce2c43" strokeweight="2.25pt">
                <v:textbox>
                  <w:txbxContent>
                    <w:p w:rsidR="00763EB7" w:rsidRPr="00763EB7" w:rsidP="00763EB7" w14:paraId="08F93C2C" w14:textId="7721DB52">
                      <w:pPr>
                        <w:pStyle w:val="T-Subheading"/>
                        <w:rPr>
                          <w:color w:val="CE2C43"/>
                        </w:rPr>
                      </w:pPr>
                      <w:r>
                        <w:rPr>
                          <w:color w:val="CE2C43"/>
                        </w:rPr>
                        <w:t>Calculate potential penalties for 202</w:t>
                      </w:r>
                      <w:r w:rsidR="007A1E50">
                        <w:rPr>
                          <w:color w:val="CE2C43"/>
                        </w:rPr>
                        <w:t>1</w:t>
                      </w:r>
                      <w:r>
                        <w:rPr>
                          <w:color w:val="CE2C43"/>
                        </w:rPr>
                        <w:t xml:space="preserve"> and/or 202</w:t>
                      </w:r>
                      <w:r w:rsidR="007A1E50">
                        <w:rPr>
                          <w:color w:val="CE2C43"/>
                        </w:rPr>
                        <w:t>2</w:t>
                      </w:r>
                      <w:r w:rsidRPr="00763EB7">
                        <w:rPr>
                          <w:color w:val="CE2C43"/>
                        </w:rPr>
                        <w:t>:</w:t>
                      </w:r>
                    </w:p>
                    <w:p w:rsidR="00F42E21" w:rsidRPr="00075345" w:rsidP="00F42E21" w14:paraId="5C86246C" w14:textId="77777777">
                      <w:pPr>
                        <w:pStyle w:val="T-BulletList"/>
                      </w:pPr>
                      <w:r w:rsidRPr="00D62AB2">
                        <w:t>Review the cost of your health plan coverage to determine whether it’s affordable for your employees by using one or more of the affordability safe harbors.</w:t>
                      </w:r>
                    </w:p>
                    <w:p w:rsidR="00F42E21" w:rsidRPr="00075345" w:rsidP="00F42E21" w14:paraId="2130252B" w14:textId="77777777">
                      <w:pPr>
                        <w:pStyle w:val="T-BulletList"/>
                      </w:pPr>
                      <w:r w:rsidRPr="00D62AB2">
                        <w:t>Determine whether the plan provides MV by using one of the four available methods</w:t>
                      </w:r>
                      <w:r w:rsidRPr="00075345">
                        <w:t>.</w:t>
                      </w:r>
                    </w:p>
                    <w:p w:rsidR="00763EB7" w:rsidP="00F42E21" w14:paraId="4F0EA59B" w14:textId="77777777">
                      <w:pPr>
                        <w:pStyle w:val="T-BulletList"/>
                      </w:pPr>
                      <w:r w:rsidRPr="00D62AB2">
                        <w:t>Calculate any penalties that may apply</w:t>
                      </w:r>
                      <w:r>
                        <w:t xml:space="preserve"> under these rules</w:t>
                      </w:r>
                      <w:r w:rsidRPr="00D62AB2">
                        <w:t xml:space="preserve"> using the formulas above</w:t>
                      </w:r>
                      <w:r>
                        <w:t>.</w:t>
                      </w:r>
                    </w:p>
                  </w:txbxContent>
                </v:textbox>
                <w10:anchorlock/>
              </v:shape>
            </w:pict>
          </mc:Fallback>
        </mc:AlternateContent>
      </w:r>
    </w:p>
    <w:p w:rsidR="00362823" w:rsidP="00362823" w14:paraId="64BEE7E8" w14:textId="77777777">
      <w:pPr>
        <w:pStyle w:val="BodyText"/>
        <w:spacing w:after="0"/>
      </w:pPr>
    </w:p>
    <w:tbl>
      <w:tblPr>
        <w:tblW w:w="10800" w:type="dxa"/>
        <w:shd w:val="clear" w:color="auto" w:fill="BC5D58"/>
        <w:tblLook w:val="04A0"/>
      </w:tblPr>
      <w:tblGrid>
        <w:gridCol w:w="10800"/>
      </w:tblGrid>
      <w:tr w14:paraId="01AE237D" w14:textId="77777777" w:rsidTr="0064368E">
        <w:tblPrEx>
          <w:tblW w:w="10800" w:type="dxa"/>
          <w:shd w:val="clear" w:color="auto" w:fill="BC5D58"/>
          <w:tblLook w:val="04A0"/>
        </w:tblPrEx>
        <w:tc>
          <w:tcPr>
            <w:tcW w:w="10800" w:type="dxa"/>
            <w:shd w:val="clear" w:color="auto" w:fill="CE2C43"/>
          </w:tcPr>
          <w:p w:rsidR="00F42E21" w:rsidP="0064368E" w14:paraId="30D8A13B" w14:textId="77777777">
            <w:pPr>
              <w:pStyle w:val="TableHeader"/>
            </w:pPr>
            <w:r>
              <w:t>Reporting of Coverage</w:t>
            </w:r>
          </w:p>
        </w:tc>
      </w:tr>
    </w:tbl>
    <w:p w:rsidR="00FD4D62" w:rsidRPr="00FE5E93" w:rsidP="00FD4D62" w14:paraId="109417BA" w14:textId="77777777">
      <w:pPr>
        <w:pStyle w:val="BodyText"/>
      </w:pPr>
      <w:r w:rsidRPr="00D54FCD">
        <w:t>The ACA requires ALEs to report information to the IRS and to</w:t>
      </w:r>
      <w:r>
        <w:t xml:space="preserve"> their full-time</w:t>
      </w:r>
      <w:r w:rsidRPr="00D54FCD">
        <w:t xml:space="preserve"> employees regarding the employer-sponsored health coverage</w:t>
      </w:r>
      <w:r>
        <w:t xml:space="preserve"> they offer</w:t>
      </w:r>
      <w:r w:rsidRPr="00D54FCD">
        <w:t xml:space="preserve">. The IRS will use the information that ALEs report to verify employer-sponsored coverage and administer the employer shared responsibility provisions. This reporting requirement is found in </w:t>
      </w:r>
      <w:r w:rsidRPr="00D54FCD">
        <w:rPr>
          <w:b/>
        </w:rPr>
        <w:t>Code Section 6056</w:t>
      </w:r>
      <w:r>
        <w:t>.</w:t>
      </w:r>
    </w:p>
    <w:p w:rsidR="007717ED" w:rsidP="007A1E50" w14:paraId="3DE5C2CB" w14:textId="5ABFB4E7">
      <w:pPr>
        <w:pStyle w:val="BodyText"/>
      </w:pPr>
      <w:r>
        <w:t>T</w:t>
      </w:r>
      <w:r w:rsidRPr="00D54FCD">
        <w:t xml:space="preserve">he ACA </w:t>
      </w:r>
      <w:r>
        <w:t xml:space="preserve">also </w:t>
      </w:r>
      <w:r w:rsidRPr="00D54FCD">
        <w:t xml:space="preserve">requires every health insurance issuer, sponsor of a self-insured health plan, government agency that administers government-sponsored health insurance programs and any other entity that provides MEC to file an annual return with the IRS reporting information for each individual who is provided with this coverage. Related statements must also be provided to individuals. This reporting requirement is found in </w:t>
      </w:r>
      <w:r w:rsidRPr="00D54FCD">
        <w:rPr>
          <w:b/>
        </w:rPr>
        <w:t>Code Section 6055</w:t>
      </w:r>
      <w:r w:rsidRPr="00D54FCD">
        <w:t>.</w:t>
      </w:r>
    </w:p>
    <w:p w:rsidR="00BB502C" w:rsidRPr="00FE5E93" w:rsidP="00FD4D62" w14:paraId="505B8839" w14:textId="6285D29D">
      <w:pPr>
        <w:pStyle w:val="BodyText"/>
      </w:pPr>
      <w:r>
        <w:t>The individual mandate penalty has been reduced to zero, beginning in 2019. As a result, an individual does not need the information on Form 1095-B in order to calculate his or her federal tax liability or file a federal income tax return. However, reporting entities required to furnish Form 1095-B to individuals must continue to expend resources to do so.</w:t>
      </w:r>
    </w:p>
    <w:p w:rsidR="00FD4D62" w:rsidP="00FD4D62" w14:paraId="037FCCC7" w14:textId="1AB0A4D3">
      <w:pPr>
        <w:pStyle w:val="BodyText"/>
        <w:rPr>
          <w:b/>
        </w:rPr>
      </w:pPr>
      <w:r w:rsidRPr="00D54FCD">
        <w:t xml:space="preserve">Both of these reporting requirements </w:t>
      </w:r>
      <w:r>
        <w:t>took</w:t>
      </w:r>
      <w:r w:rsidRPr="00D54FCD">
        <w:t xml:space="preserve"> effect</w:t>
      </w:r>
      <w:r>
        <w:t xml:space="preserve"> </w:t>
      </w:r>
      <w:r w:rsidRPr="00D54FCD">
        <w:t xml:space="preserve">in 2015. </w:t>
      </w:r>
      <w:r w:rsidRPr="00AB12C2">
        <w:rPr>
          <w:b/>
        </w:rPr>
        <w:t xml:space="preserve">Returns </w:t>
      </w:r>
      <w:r>
        <w:rPr>
          <w:b/>
        </w:rPr>
        <w:t>are</w:t>
      </w:r>
      <w:r w:rsidRPr="00AB12C2">
        <w:rPr>
          <w:b/>
        </w:rPr>
        <w:t xml:space="preserve"> due in </w:t>
      </w:r>
      <w:r>
        <w:rPr>
          <w:b/>
        </w:rPr>
        <w:t>early 202</w:t>
      </w:r>
      <w:r w:rsidR="008D4243">
        <w:rPr>
          <w:b/>
        </w:rPr>
        <w:t>2</w:t>
      </w:r>
      <w:r w:rsidRPr="00AB12C2">
        <w:rPr>
          <w:b/>
        </w:rPr>
        <w:t xml:space="preserve"> for health plan coverage </w:t>
      </w:r>
      <w:r>
        <w:rPr>
          <w:b/>
        </w:rPr>
        <w:t xml:space="preserve">offered or </w:t>
      </w:r>
      <w:r w:rsidRPr="00AB12C2">
        <w:rPr>
          <w:b/>
        </w:rPr>
        <w:t>provided in 20</w:t>
      </w:r>
      <w:r w:rsidR="00F42E21">
        <w:rPr>
          <w:b/>
        </w:rPr>
        <w:t>2</w:t>
      </w:r>
      <w:r w:rsidR="008D4243">
        <w:rPr>
          <w:b/>
        </w:rPr>
        <w:t>1</w:t>
      </w:r>
      <w:r w:rsidRPr="00AB12C2">
        <w:rPr>
          <w:b/>
        </w:rPr>
        <w:t>.</w:t>
      </w:r>
    </w:p>
    <w:p w:rsidR="00FD4D62" w:rsidP="00F42E21" w14:paraId="58DF9302" w14:textId="24994C98">
      <w:pPr>
        <w:pStyle w:val="Bullet"/>
      </w:pPr>
      <w:r w:rsidRPr="00AB12C2">
        <w:t xml:space="preserve">Returns </w:t>
      </w:r>
      <w:r>
        <w:t xml:space="preserve">generally </w:t>
      </w:r>
      <w:r w:rsidRPr="00AB12C2">
        <w:t xml:space="preserve">must be filed with the IRS by </w:t>
      </w:r>
      <w:r w:rsidRPr="00AB12C2">
        <w:rPr>
          <w:b/>
        </w:rPr>
        <w:t>Feb. 28</w:t>
      </w:r>
      <w:r w:rsidRPr="00AB12C2">
        <w:t xml:space="preserve"> (or </w:t>
      </w:r>
      <w:r w:rsidRPr="00AB12C2">
        <w:rPr>
          <w:b/>
        </w:rPr>
        <w:t>March 31</w:t>
      </w:r>
      <w:r w:rsidRPr="00AB12C2">
        <w:t>, if filed electronically) of the year after the calendar ye</w:t>
      </w:r>
      <w:r>
        <w:t xml:space="preserve">ar to which the returns relate. </w:t>
      </w:r>
      <w:r w:rsidRPr="00566B29">
        <w:t>For the 20</w:t>
      </w:r>
      <w:r w:rsidR="00F42E21">
        <w:t>2</w:t>
      </w:r>
      <w:r w:rsidR="008D4243">
        <w:t>1</w:t>
      </w:r>
      <w:r w:rsidRPr="00566B29">
        <w:t xml:space="preserve"> calendar year, returns must be filed by </w:t>
      </w:r>
      <w:r w:rsidR="008D4243">
        <w:rPr>
          <w:b/>
        </w:rPr>
        <w:t>Feb. 28</w:t>
      </w:r>
      <w:r w:rsidRPr="00566B29">
        <w:rPr>
          <w:b/>
        </w:rPr>
        <w:t>, 20</w:t>
      </w:r>
      <w:r>
        <w:rPr>
          <w:b/>
        </w:rPr>
        <w:t>2</w:t>
      </w:r>
      <w:r w:rsidR="008D4243">
        <w:rPr>
          <w:b/>
        </w:rPr>
        <w:t>2</w:t>
      </w:r>
      <w:r w:rsidRPr="00566B29">
        <w:t>, or</w:t>
      </w:r>
      <w:r>
        <w:t xml:space="preserve"> </w:t>
      </w:r>
      <w:r>
        <w:rPr>
          <w:b/>
        </w:rPr>
        <w:t>March</w:t>
      </w:r>
      <w:r w:rsidRPr="00566B29">
        <w:rPr>
          <w:b/>
        </w:rPr>
        <w:t xml:space="preserve"> </w:t>
      </w:r>
      <w:r>
        <w:rPr>
          <w:b/>
        </w:rPr>
        <w:t>31</w:t>
      </w:r>
      <w:r w:rsidRPr="00566B29">
        <w:rPr>
          <w:b/>
        </w:rPr>
        <w:t>, 20</w:t>
      </w:r>
      <w:r>
        <w:rPr>
          <w:b/>
        </w:rPr>
        <w:t>2</w:t>
      </w:r>
      <w:r w:rsidR="008D4243">
        <w:rPr>
          <w:b/>
        </w:rPr>
        <w:t>2</w:t>
      </w:r>
      <w:r w:rsidRPr="00566B29">
        <w:t>, if filed electronically.</w:t>
      </w:r>
    </w:p>
    <w:p w:rsidR="00FD4D62" w:rsidRPr="00D54FCD" w:rsidP="00F42E21" w14:paraId="14178DB8" w14:textId="60E04918">
      <w:pPr>
        <w:pStyle w:val="Bullet"/>
      </w:pPr>
      <w:r w:rsidRPr="00D54FCD">
        <w:t xml:space="preserve">Written statements </w:t>
      </w:r>
      <w:r>
        <w:t xml:space="preserve">generally </w:t>
      </w:r>
      <w:r w:rsidRPr="00D54FCD">
        <w:t xml:space="preserve">must be provided to employees no later than </w:t>
      </w:r>
      <w:r w:rsidRPr="00D54FCD">
        <w:rPr>
          <w:b/>
        </w:rPr>
        <w:t>Jan. 31</w:t>
      </w:r>
      <w:r w:rsidRPr="00D54FCD">
        <w:t xml:space="preserve"> of the year following the calendar year in which coverage was provided.</w:t>
      </w:r>
      <w:r>
        <w:t xml:space="preserve"> </w:t>
      </w:r>
      <w:r w:rsidR="00F90DF0">
        <w:t xml:space="preserve">However, a </w:t>
      </w:r>
      <w:hyperlink r:id="rId14" w:history="1">
        <w:r w:rsidRPr="00753205" w:rsidR="00F90DF0">
          <w:rPr>
            <w:rStyle w:val="Hyperlink"/>
          </w:rPr>
          <w:t>proposed rule</w:t>
        </w:r>
      </w:hyperlink>
      <w:r w:rsidR="00F90DF0">
        <w:t xml:space="preserve"> extended the annual deadline for </w:t>
      </w:r>
      <w:r w:rsidR="00F90DF0">
        <w:t>furnishing statements to 30 days from Jan. 31 each year. As a result, f</w:t>
      </w:r>
      <w:r w:rsidRPr="007A03F8">
        <w:t>or the 20</w:t>
      </w:r>
      <w:r w:rsidR="00F42E21">
        <w:t>2</w:t>
      </w:r>
      <w:r w:rsidR="008D4243">
        <w:t>1</w:t>
      </w:r>
      <w:r w:rsidRPr="007A03F8">
        <w:t xml:space="preserve"> calendar year, </w:t>
      </w:r>
      <w:r>
        <w:t xml:space="preserve">the deadline to furnish </w:t>
      </w:r>
      <w:r w:rsidRPr="007A03F8">
        <w:t xml:space="preserve">individual statements </w:t>
      </w:r>
      <w:r w:rsidR="00171002">
        <w:t>was extended to</w:t>
      </w:r>
      <w:r>
        <w:t xml:space="preserve"> </w:t>
      </w:r>
      <w:r w:rsidR="00171002">
        <w:rPr>
          <w:b/>
        </w:rPr>
        <w:t>March</w:t>
      </w:r>
      <w:r w:rsidRPr="008D4243">
        <w:rPr>
          <w:b/>
        </w:rPr>
        <w:t xml:space="preserve"> </w:t>
      </w:r>
      <w:r w:rsidR="00171002">
        <w:rPr>
          <w:b/>
        </w:rPr>
        <w:t>2</w:t>
      </w:r>
      <w:r w:rsidRPr="008D4243">
        <w:rPr>
          <w:b/>
        </w:rPr>
        <w:t>, 202</w:t>
      </w:r>
      <w:r w:rsidRPr="008D4243" w:rsidR="008D4243">
        <w:rPr>
          <w:b/>
        </w:rPr>
        <w:t>2</w:t>
      </w:r>
      <w:r w:rsidRPr="007A03F8">
        <w:t>.</w:t>
      </w:r>
    </w:p>
    <w:p w:rsidR="00FD4D62" w:rsidP="00FD4D62" w14:paraId="66A48516" w14:textId="77777777">
      <w:pPr>
        <w:pStyle w:val="BodyText"/>
      </w:pPr>
      <w:r w:rsidRPr="00D54FCD">
        <w:t xml:space="preserve">ALEs with self-funded plans </w:t>
      </w:r>
      <w:r>
        <w:t xml:space="preserve">are </w:t>
      </w:r>
      <w:r w:rsidRPr="00D54FCD">
        <w:t>required to comply with both reporting obligations, while ALEs with insured plans will only need to comply with Section 6056. To simplify the reporting process, the IRS allow</w:t>
      </w:r>
      <w:r>
        <w:t>s</w:t>
      </w:r>
      <w:r w:rsidRPr="00D54FCD">
        <w:t xml:space="preserve"> ALEs with self-insured plans to use a single combined form for reporting the information required under both Section 6055 and 6056.</w:t>
      </w:r>
    </w:p>
    <w:tbl>
      <w:tblPr>
        <w:tblW w:w="10624"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tblPr>
      <w:tblGrid>
        <w:gridCol w:w="3510"/>
        <w:gridCol w:w="2439"/>
        <w:gridCol w:w="2461"/>
        <w:gridCol w:w="2214"/>
      </w:tblGrid>
      <w:tr w14:paraId="53A42BB7" w14:textId="77777777" w:rsidTr="00F42E21">
        <w:tblPrEx>
          <w:tblW w:w="10624"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tblPrEx>
        <w:trPr>
          <w:jc w:val="center"/>
        </w:trPr>
        <w:tc>
          <w:tcPr>
            <w:tcW w:w="3510" w:type="dxa"/>
            <w:tcBorders>
              <w:top w:val="single" w:sz="18" w:space="0" w:color="FFFFFF"/>
              <w:left w:val="single" w:sz="18" w:space="0" w:color="FFFFFF"/>
              <w:bottom w:val="single" w:sz="18" w:space="0" w:color="FFFFFF"/>
              <w:right w:val="single" w:sz="18" w:space="0" w:color="FFFFFF"/>
            </w:tcBorders>
            <w:shd w:val="clear" w:color="auto" w:fill="CE2C43"/>
            <w:vAlign w:val="center"/>
          </w:tcPr>
          <w:p w:rsidR="00FD4D62" w:rsidRPr="00E216FF" w:rsidP="0064368E" w14:paraId="50929481" w14:textId="77777777">
            <w:pPr>
              <w:pStyle w:val="T-Text"/>
              <w:spacing w:before="60" w:after="60"/>
              <w:jc w:val="center"/>
              <w:rPr>
                <w:b/>
                <w:color w:val="FFFFFF"/>
              </w:rPr>
            </w:pPr>
            <w:r w:rsidRPr="00E216FF">
              <w:rPr>
                <w:b/>
                <w:color w:val="FFFFFF"/>
              </w:rPr>
              <w:t>ALEs that sponsor self-insured plans</w:t>
            </w:r>
          </w:p>
        </w:tc>
        <w:tc>
          <w:tcPr>
            <w:tcW w:w="2439" w:type="dxa"/>
            <w:tcBorders>
              <w:top w:val="single" w:sz="18" w:space="0" w:color="FFFFFF"/>
              <w:left w:val="single" w:sz="18" w:space="0" w:color="FFFFFF"/>
              <w:bottom w:val="single" w:sz="18" w:space="0" w:color="FFFFFF"/>
              <w:right w:val="single" w:sz="18" w:space="0" w:color="FFFFFF"/>
            </w:tcBorders>
            <w:shd w:val="clear" w:color="auto" w:fill="CE2C43"/>
            <w:vAlign w:val="center"/>
          </w:tcPr>
          <w:p w:rsidR="00FD4D62" w:rsidRPr="00E216FF" w:rsidP="0064368E" w14:paraId="2257E7D7" w14:textId="77777777">
            <w:pPr>
              <w:pStyle w:val="T-Text"/>
              <w:spacing w:before="60" w:after="60"/>
              <w:jc w:val="center"/>
              <w:rPr>
                <w:b/>
                <w:color w:val="FFFFFF"/>
              </w:rPr>
            </w:pPr>
            <w:r w:rsidRPr="00E216FF">
              <w:rPr>
                <w:b/>
                <w:color w:val="FFFFFF"/>
              </w:rPr>
              <w:t>ALEs that sponsor insured plans</w:t>
            </w:r>
          </w:p>
        </w:tc>
        <w:tc>
          <w:tcPr>
            <w:tcW w:w="2461" w:type="dxa"/>
            <w:tcBorders>
              <w:top w:val="single" w:sz="18" w:space="0" w:color="FFFFFF"/>
              <w:left w:val="single" w:sz="18" w:space="0" w:color="FFFFFF"/>
              <w:bottom w:val="single" w:sz="18" w:space="0" w:color="FFFFFF"/>
              <w:right w:val="single" w:sz="18" w:space="0" w:color="FFFFFF"/>
            </w:tcBorders>
            <w:shd w:val="clear" w:color="auto" w:fill="CE2C43"/>
            <w:vAlign w:val="center"/>
          </w:tcPr>
          <w:p w:rsidR="00FD4D62" w:rsidRPr="00E216FF" w:rsidP="0064368E" w14:paraId="2165E7D1" w14:textId="77777777">
            <w:pPr>
              <w:pStyle w:val="T-Text"/>
              <w:spacing w:before="60" w:after="60"/>
              <w:jc w:val="center"/>
              <w:rPr>
                <w:b/>
                <w:color w:val="FFFFFF"/>
              </w:rPr>
            </w:pPr>
            <w:r w:rsidRPr="00E216FF">
              <w:rPr>
                <w:b/>
                <w:color w:val="FFFFFF"/>
              </w:rPr>
              <w:t>Non-ALEs that sponsor self-insured plans</w:t>
            </w:r>
          </w:p>
        </w:tc>
        <w:tc>
          <w:tcPr>
            <w:tcW w:w="2214" w:type="dxa"/>
            <w:tcBorders>
              <w:top w:val="single" w:sz="18" w:space="0" w:color="FFFFFF"/>
              <w:left w:val="single" w:sz="18" w:space="0" w:color="FFFFFF"/>
              <w:bottom w:val="single" w:sz="18" w:space="0" w:color="FFFFFF"/>
              <w:right w:val="single" w:sz="18" w:space="0" w:color="FFFFFF"/>
            </w:tcBorders>
            <w:shd w:val="clear" w:color="auto" w:fill="CE2C43"/>
            <w:vAlign w:val="center"/>
          </w:tcPr>
          <w:p w:rsidR="00FD4D62" w:rsidRPr="00E216FF" w:rsidP="0064368E" w14:paraId="5D7B060E" w14:textId="77777777">
            <w:pPr>
              <w:pStyle w:val="T-Text"/>
              <w:spacing w:before="60" w:after="60"/>
              <w:jc w:val="center"/>
              <w:rPr>
                <w:b/>
                <w:color w:val="FFFFFF"/>
              </w:rPr>
            </w:pPr>
            <w:r w:rsidRPr="00E216FF">
              <w:rPr>
                <w:b/>
                <w:color w:val="FFFFFF"/>
              </w:rPr>
              <w:t>Non-ALEs that sponsor insured plans</w:t>
            </w:r>
          </w:p>
        </w:tc>
      </w:tr>
      <w:tr w14:paraId="00E70885" w14:textId="77777777" w:rsidTr="0064368E">
        <w:tblPrEx>
          <w:tblW w:w="10624" w:type="dxa"/>
          <w:jc w:val="center"/>
          <w:tblLook w:val="04A0"/>
        </w:tblPrEx>
        <w:trPr>
          <w:jc w:val="center"/>
        </w:trPr>
        <w:tc>
          <w:tcPr>
            <w:tcW w:w="3510" w:type="dxa"/>
            <w:tcBorders>
              <w:top w:val="single" w:sz="18" w:space="0" w:color="FFFFFF"/>
            </w:tcBorders>
            <w:shd w:val="clear" w:color="auto" w:fill="D9D9D9"/>
            <w:vAlign w:val="center"/>
          </w:tcPr>
          <w:p w:rsidR="00FD4D62" w:rsidP="0064368E" w14:paraId="5C2DE325" w14:textId="77777777">
            <w:pPr>
              <w:pStyle w:val="T-Text"/>
              <w:spacing w:before="60" w:after="60"/>
            </w:pPr>
            <w:r>
              <w:t>Must</w:t>
            </w:r>
            <w:r w:rsidRPr="00592F31">
              <w:t xml:space="preserve"> report:</w:t>
            </w:r>
          </w:p>
          <w:p w:rsidR="00FD4D62" w:rsidP="00FD4D62" w14:paraId="676FF036" w14:textId="77777777">
            <w:pPr>
              <w:pStyle w:val="T-Text"/>
              <w:numPr>
                <w:ilvl w:val="0"/>
                <w:numId w:val="19"/>
              </w:numPr>
              <w:spacing w:before="60" w:after="60"/>
              <w:ind w:left="360"/>
            </w:pPr>
            <w:r w:rsidRPr="00592F31">
              <w:t xml:space="preserve">Information under Section 6055 about </w:t>
            </w:r>
            <w:r>
              <w:t>MEC</w:t>
            </w:r>
            <w:r w:rsidRPr="00592F31">
              <w:t xml:space="preserve"> provided; and</w:t>
            </w:r>
          </w:p>
          <w:p w:rsidR="00FD4D62" w:rsidP="00FD4D62" w14:paraId="4C5F256D" w14:textId="77777777">
            <w:pPr>
              <w:pStyle w:val="T-Text"/>
              <w:numPr>
                <w:ilvl w:val="0"/>
                <w:numId w:val="19"/>
              </w:numPr>
              <w:spacing w:before="60" w:after="60"/>
              <w:ind w:left="360"/>
            </w:pPr>
            <w:r w:rsidRPr="00592F31">
              <w:t>Information under Section 6056 about offers of health coverage.</w:t>
            </w:r>
          </w:p>
        </w:tc>
        <w:tc>
          <w:tcPr>
            <w:tcW w:w="2439" w:type="dxa"/>
            <w:tcBorders>
              <w:top w:val="single" w:sz="18" w:space="0" w:color="FFFFFF"/>
            </w:tcBorders>
            <w:shd w:val="clear" w:color="auto" w:fill="D9D9D9"/>
            <w:vAlign w:val="center"/>
          </w:tcPr>
          <w:p w:rsidR="00FD4D62" w:rsidP="0064368E" w14:paraId="792BB051" w14:textId="77777777">
            <w:pPr>
              <w:pStyle w:val="T-Text"/>
              <w:spacing w:before="60" w:after="60"/>
              <w:jc w:val="center"/>
            </w:pPr>
            <w:r>
              <w:t>Must report information under Section 6056. These employers are not required to report under Section 6055.</w:t>
            </w:r>
          </w:p>
        </w:tc>
        <w:tc>
          <w:tcPr>
            <w:tcW w:w="2461" w:type="dxa"/>
            <w:tcBorders>
              <w:top w:val="single" w:sz="18" w:space="0" w:color="FFFFFF"/>
            </w:tcBorders>
            <w:shd w:val="clear" w:color="auto" w:fill="D9D9D9"/>
            <w:vAlign w:val="center"/>
          </w:tcPr>
          <w:p w:rsidR="00FD4D62" w:rsidP="0064368E" w14:paraId="1C181EF2" w14:textId="77777777">
            <w:pPr>
              <w:pStyle w:val="T-Text"/>
              <w:spacing w:before="60" w:after="60"/>
              <w:jc w:val="center"/>
            </w:pPr>
            <w:r>
              <w:t>Must report information under Section 6055</w:t>
            </w:r>
            <w:r w:rsidRPr="00592F31">
              <w:t>.</w:t>
            </w:r>
            <w:r>
              <w:t xml:space="preserve"> These employers are not required to report under Section 6056.</w:t>
            </w:r>
          </w:p>
        </w:tc>
        <w:tc>
          <w:tcPr>
            <w:tcW w:w="2214" w:type="dxa"/>
            <w:tcBorders>
              <w:top w:val="single" w:sz="18" w:space="0" w:color="FFFFFF"/>
            </w:tcBorders>
            <w:shd w:val="clear" w:color="auto" w:fill="D9D9D9"/>
            <w:vAlign w:val="center"/>
          </w:tcPr>
          <w:p w:rsidR="00FD4D62" w:rsidP="0064368E" w14:paraId="6467E5C8" w14:textId="77777777">
            <w:pPr>
              <w:pStyle w:val="T-Text"/>
              <w:spacing w:before="60" w:after="60"/>
              <w:jc w:val="center"/>
            </w:pPr>
            <w:r>
              <w:t>These employers are not required to report under either Section 6055 or Section 6056.</w:t>
            </w:r>
          </w:p>
        </w:tc>
      </w:tr>
    </w:tbl>
    <w:p w:rsidR="00FD4D62" w:rsidP="00362823" w14:paraId="3A3E8825" w14:textId="77777777">
      <w:pPr>
        <w:pStyle w:val="SectionedHeader"/>
      </w:pPr>
      <w:r>
        <w:t>Forms Used for Reporting</w:t>
      </w:r>
    </w:p>
    <w:p w:rsidR="00FD4D62" w:rsidRPr="000D5298" w:rsidP="00FD4D62" w14:paraId="0BF9C545" w14:textId="77777777">
      <w:pPr>
        <w:pStyle w:val="BodyText"/>
        <w:rPr>
          <w:rFonts w:eastAsia="Calibri"/>
        </w:rPr>
      </w:pPr>
      <w:r w:rsidRPr="000D5298">
        <w:rPr>
          <w:rFonts w:eastAsia="Calibri"/>
        </w:rPr>
        <w:t xml:space="preserve">Under both Sections 6055 and 6056, each </w:t>
      </w:r>
      <w:r w:rsidRPr="001F226B">
        <w:rPr>
          <w:rFonts w:eastAsia="Calibri"/>
        </w:rPr>
        <w:t>reporting</w:t>
      </w:r>
      <w:r w:rsidRPr="000D5298">
        <w:rPr>
          <w:rFonts w:eastAsia="Calibri"/>
        </w:rPr>
        <w:t xml:space="preserve"> entity </w:t>
      </w:r>
      <w:r>
        <w:rPr>
          <w:rFonts w:eastAsia="Calibri"/>
        </w:rPr>
        <w:t>must</w:t>
      </w:r>
      <w:r w:rsidRPr="000D5298">
        <w:rPr>
          <w:rFonts w:eastAsia="Calibri"/>
        </w:rPr>
        <w:t xml:space="preserve"> file all of the following with the IRS:</w:t>
      </w:r>
    </w:p>
    <w:p w:rsidR="00FD4D62" w:rsidRPr="000D5298" w:rsidP="00F42E21" w14:paraId="08118E22" w14:textId="77777777">
      <w:pPr>
        <w:pStyle w:val="Bullet"/>
        <w:rPr>
          <w:rFonts w:eastAsia="Calibri"/>
        </w:rPr>
      </w:pPr>
      <w:r w:rsidRPr="000D5298">
        <w:rPr>
          <w:rFonts w:eastAsia="Calibri"/>
        </w:rPr>
        <w:t xml:space="preserve">A separate </w:t>
      </w:r>
      <w:r w:rsidRPr="000D5298">
        <w:rPr>
          <w:rFonts w:eastAsia="Calibri"/>
          <w:b/>
        </w:rPr>
        <w:t>statement</w:t>
      </w:r>
      <w:r w:rsidRPr="000D5298">
        <w:rPr>
          <w:rFonts w:eastAsia="Calibri"/>
        </w:rPr>
        <w:t xml:space="preserve"> for each individual; and</w:t>
      </w:r>
    </w:p>
    <w:p w:rsidR="00FD4D62" w:rsidP="00F42E21" w14:paraId="24866C52" w14:textId="77777777">
      <w:pPr>
        <w:pStyle w:val="Bullet"/>
        <w:rPr>
          <w:rFonts w:eastAsia="Calibri"/>
        </w:rPr>
      </w:pPr>
      <w:r w:rsidRPr="000D5298">
        <w:rPr>
          <w:rFonts w:eastAsia="Calibri"/>
        </w:rPr>
        <w:t xml:space="preserve">A single </w:t>
      </w:r>
      <w:r w:rsidRPr="000D5298">
        <w:rPr>
          <w:rFonts w:eastAsia="Calibri"/>
          <w:b/>
        </w:rPr>
        <w:t>transmittal form</w:t>
      </w:r>
      <w:r w:rsidRPr="000D5298">
        <w:rPr>
          <w:rFonts w:eastAsia="Calibri"/>
        </w:rPr>
        <w:t xml:space="preserve"> for all of the returns filed for a given calendar year.</w:t>
      </w:r>
    </w:p>
    <w:p w:rsidR="00FD4D62" w:rsidP="00FD4D62" w14:paraId="53F64195" w14:textId="494E9BF5">
      <w:pPr>
        <w:pStyle w:val="BodyText"/>
      </w:pPr>
      <w:r>
        <w:rPr>
          <w:rFonts w:eastAsia="Calibri"/>
        </w:rPr>
        <w:t xml:space="preserve">Under Section 6055, </w:t>
      </w:r>
      <w:r>
        <w:t xml:space="preserve">reporting entities will generally file </w:t>
      </w:r>
      <w:r w:rsidRPr="00482A0A">
        <w:t xml:space="preserve">Forms </w:t>
      </w:r>
      <w:r w:rsidRPr="00C71070">
        <w:t>1094-</w:t>
      </w:r>
      <w:r w:rsidRPr="006C4B01">
        <w:t>B (a transmittal) and</w:t>
      </w:r>
      <w:r w:rsidRPr="00482A0A">
        <w:t xml:space="preserve"> </w:t>
      </w:r>
      <w:r w:rsidRPr="00C71070">
        <w:t>1095-B</w:t>
      </w:r>
      <w:r w:rsidRPr="00482A0A">
        <w:t xml:space="preserve"> (an information return). Under Section 6056, </w:t>
      </w:r>
      <w:r w:rsidRPr="001F226B">
        <w:t>entities</w:t>
      </w:r>
      <w:r w:rsidRPr="00482A0A">
        <w:t xml:space="preserve"> will file Forms </w:t>
      </w:r>
      <w:r w:rsidRPr="00C71070">
        <w:t>1094-C</w:t>
      </w:r>
      <w:r w:rsidRPr="00482A0A">
        <w:t xml:space="preserve"> (a transmittal) and </w:t>
      </w:r>
      <w:r w:rsidRPr="00C71070">
        <w:t>1095-C</w:t>
      </w:r>
      <w:r w:rsidRPr="00482A0A">
        <w:t xml:space="preserve"> (an</w:t>
      </w:r>
      <w:r>
        <w:t xml:space="preserve"> information return) for each full-time employee for any month. Entities </w:t>
      </w:r>
      <w:r w:rsidR="001E472E">
        <w:t>reporting under</w:t>
      </w:r>
      <w:r>
        <w:t xml:space="preserve"> </w:t>
      </w:r>
      <w:r w:rsidR="00C61642">
        <w:t xml:space="preserve">both </w:t>
      </w:r>
      <w:r>
        <w:t xml:space="preserve">Sections 6055 and 6056 will file using a combined reporting method on </w:t>
      </w:r>
      <w:r w:rsidRPr="008C64EB">
        <w:rPr>
          <w:b/>
        </w:rPr>
        <w:t>Form 1094-C</w:t>
      </w:r>
      <w:r>
        <w:t xml:space="preserve"> and </w:t>
      </w:r>
      <w:r w:rsidRPr="008C64EB">
        <w:rPr>
          <w:b/>
        </w:rPr>
        <w:t>Form 1095-C</w:t>
      </w:r>
      <w:r w:rsidRPr="00231BB2">
        <w:t>.</w:t>
      </w:r>
    </w:p>
    <w:tbl>
      <w:tblPr>
        <w:tblW w:w="9985"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1710"/>
        <w:gridCol w:w="5935"/>
        <w:gridCol w:w="2340"/>
      </w:tblGrid>
      <w:tr w14:paraId="47A0CD2C" w14:textId="77777777" w:rsidTr="00F42E21">
        <w:tblPrEx>
          <w:tblW w:w="9985"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Ex>
        <w:trPr>
          <w:trHeight w:val="397"/>
          <w:jc w:val="center"/>
        </w:trPr>
        <w:tc>
          <w:tcPr>
            <w:tcW w:w="1710" w:type="dxa"/>
            <w:shd w:val="clear" w:color="auto" w:fill="CE2C43"/>
            <w:vAlign w:val="center"/>
          </w:tcPr>
          <w:p w:rsidR="00FD4D62" w:rsidRPr="001F226B" w:rsidP="00F42E21" w14:paraId="293EC906" w14:textId="77777777">
            <w:pPr>
              <w:pStyle w:val="TableHeader"/>
            </w:pPr>
            <w:r w:rsidRPr="001F226B">
              <w:t>Requirement</w:t>
            </w:r>
          </w:p>
        </w:tc>
        <w:tc>
          <w:tcPr>
            <w:tcW w:w="5935" w:type="dxa"/>
            <w:shd w:val="clear" w:color="auto" w:fill="CE2C43"/>
            <w:vAlign w:val="center"/>
          </w:tcPr>
          <w:p w:rsidR="00FD4D62" w:rsidRPr="001F226B" w:rsidP="00F42E21" w14:paraId="68B2A120" w14:textId="77777777">
            <w:pPr>
              <w:pStyle w:val="TableHeader"/>
            </w:pPr>
            <w:r w:rsidRPr="001F226B">
              <w:t>File with the IRS:</w:t>
            </w:r>
          </w:p>
        </w:tc>
        <w:tc>
          <w:tcPr>
            <w:tcW w:w="2340" w:type="dxa"/>
            <w:shd w:val="clear" w:color="auto" w:fill="CE2C43"/>
            <w:vAlign w:val="center"/>
          </w:tcPr>
          <w:p w:rsidR="00FD4D62" w:rsidRPr="001F226B" w:rsidP="00F42E21" w14:paraId="27DC4070" w14:textId="77777777">
            <w:pPr>
              <w:pStyle w:val="TableHeader"/>
            </w:pPr>
            <w:r w:rsidRPr="001F226B">
              <w:t>Furnish to each individual:</w:t>
            </w:r>
          </w:p>
        </w:tc>
      </w:tr>
      <w:tr w14:paraId="789253A5" w14:textId="77777777" w:rsidTr="00F42E21">
        <w:tblPrEx>
          <w:tblW w:w="9985" w:type="dxa"/>
          <w:jc w:val="center"/>
          <w:tblLook w:val="04A0"/>
        </w:tblPrEx>
        <w:trPr>
          <w:jc w:val="center"/>
        </w:trPr>
        <w:tc>
          <w:tcPr>
            <w:tcW w:w="1710" w:type="dxa"/>
            <w:shd w:val="clear" w:color="auto" w:fill="808080"/>
            <w:vAlign w:val="center"/>
          </w:tcPr>
          <w:p w:rsidR="00FD4D62" w:rsidRPr="00E216FF" w:rsidP="0064368E" w14:paraId="7EEBEB92" w14:textId="77777777">
            <w:pPr>
              <w:pStyle w:val="T-Text"/>
              <w:spacing w:before="60" w:after="60"/>
              <w:jc w:val="center"/>
              <w:rPr>
                <w:b/>
                <w:color w:val="FFFFFF"/>
              </w:rPr>
            </w:pPr>
            <w:r w:rsidRPr="00E216FF">
              <w:rPr>
                <w:b/>
                <w:color w:val="FFFFFF"/>
              </w:rPr>
              <w:t>Section 6055</w:t>
            </w:r>
          </w:p>
        </w:tc>
        <w:tc>
          <w:tcPr>
            <w:tcW w:w="5935" w:type="dxa"/>
            <w:shd w:val="clear" w:color="auto" w:fill="FFFFFF"/>
            <w:vAlign w:val="center"/>
          </w:tcPr>
          <w:p w:rsidR="00FD4D62" w:rsidRPr="006C4B01" w:rsidP="00F42E21" w14:paraId="3BB93108" w14:textId="77777777">
            <w:pPr>
              <w:pStyle w:val="Bullet"/>
              <w:spacing w:before="60" w:after="60"/>
              <w:jc w:val="left"/>
              <w:rPr>
                <w:rFonts w:eastAsia="Calibri"/>
              </w:rPr>
            </w:pPr>
            <w:r w:rsidRPr="006C4B01">
              <w:rPr>
                <w:rFonts w:eastAsia="Calibri"/>
              </w:rPr>
              <w:t>One Form 1094-B; and</w:t>
            </w:r>
          </w:p>
          <w:p w:rsidR="00FD4D62" w:rsidRPr="006C4B01" w:rsidP="00F42E21" w14:paraId="4A9AD673" w14:textId="77777777">
            <w:pPr>
              <w:pStyle w:val="Bullet"/>
              <w:spacing w:before="60" w:after="60"/>
              <w:jc w:val="left"/>
              <w:rPr>
                <w:rFonts w:eastAsia="Calibri"/>
              </w:rPr>
            </w:pPr>
            <w:r w:rsidRPr="006C4B01">
              <w:rPr>
                <w:rFonts w:eastAsia="Calibri"/>
              </w:rPr>
              <w:t>A separate Form 1095-B for each responsible individual</w:t>
            </w:r>
          </w:p>
        </w:tc>
        <w:tc>
          <w:tcPr>
            <w:tcW w:w="2340" w:type="dxa"/>
            <w:shd w:val="clear" w:color="auto" w:fill="FFFFFF"/>
            <w:vAlign w:val="center"/>
          </w:tcPr>
          <w:p w:rsidR="00FD4D62" w:rsidRPr="006C4B01" w:rsidP="0064368E" w14:paraId="3121CBC0" w14:textId="6D243DA5">
            <w:pPr>
              <w:pStyle w:val="T-Text"/>
              <w:spacing w:before="60" w:after="60"/>
              <w:jc w:val="center"/>
            </w:pPr>
            <w:r w:rsidRPr="006C4B01">
              <w:t>A copy of his or her Form 1095-B</w:t>
            </w:r>
            <w:r w:rsidR="000E160B">
              <w:t>*</w:t>
            </w:r>
          </w:p>
        </w:tc>
      </w:tr>
      <w:tr w14:paraId="51A44275" w14:textId="77777777" w:rsidTr="000E160B">
        <w:tblPrEx>
          <w:tblW w:w="9985" w:type="dxa"/>
          <w:jc w:val="center"/>
          <w:tblLook w:val="04A0"/>
        </w:tblPrEx>
        <w:trPr>
          <w:trHeight w:val="179"/>
          <w:jc w:val="center"/>
        </w:trPr>
        <w:tc>
          <w:tcPr>
            <w:tcW w:w="1710" w:type="dxa"/>
            <w:tcBorders>
              <w:bottom w:val="single" w:sz="4" w:space="0" w:color="595959"/>
            </w:tcBorders>
            <w:shd w:val="clear" w:color="auto" w:fill="808080"/>
            <w:vAlign w:val="center"/>
          </w:tcPr>
          <w:p w:rsidR="00FD4D62" w:rsidRPr="00E216FF" w:rsidP="0064368E" w14:paraId="209FEB69" w14:textId="77777777">
            <w:pPr>
              <w:pStyle w:val="T-Text"/>
              <w:spacing w:before="60" w:after="60"/>
              <w:jc w:val="center"/>
              <w:rPr>
                <w:b/>
                <w:color w:val="FFFFFF"/>
              </w:rPr>
            </w:pPr>
            <w:r w:rsidRPr="00E216FF">
              <w:rPr>
                <w:b/>
                <w:color w:val="FFFFFF"/>
              </w:rPr>
              <w:t>Section 6056</w:t>
            </w:r>
          </w:p>
        </w:tc>
        <w:tc>
          <w:tcPr>
            <w:tcW w:w="5935" w:type="dxa"/>
            <w:tcBorders>
              <w:bottom w:val="single" w:sz="4" w:space="0" w:color="595959"/>
            </w:tcBorders>
            <w:shd w:val="clear" w:color="auto" w:fill="E7E6E6"/>
            <w:vAlign w:val="center"/>
          </w:tcPr>
          <w:p w:rsidR="00FD4D62" w:rsidRPr="006C4B01" w:rsidP="00F42E21" w14:paraId="3216E866" w14:textId="77777777">
            <w:pPr>
              <w:pStyle w:val="Bullet"/>
              <w:spacing w:before="60" w:after="60"/>
              <w:jc w:val="left"/>
              <w:rPr>
                <w:rFonts w:eastAsia="Calibri"/>
              </w:rPr>
            </w:pPr>
            <w:r w:rsidRPr="006C4B01">
              <w:rPr>
                <w:rFonts w:eastAsia="Calibri"/>
              </w:rPr>
              <w:t>One Form 1094-C; and</w:t>
            </w:r>
          </w:p>
          <w:p w:rsidR="00FD4D62" w:rsidRPr="006C4B01" w:rsidP="00F42E21" w14:paraId="33DE4EF2" w14:textId="77777777">
            <w:pPr>
              <w:pStyle w:val="Bullet"/>
              <w:spacing w:before="60" w:after="60"/>
              <w:jc w:val="left"/>
              <w:rPr>
                <w:rFonts w:eastAsia="Calibri"/>
              </w:rPr>
            </w:pPr>
            <w:r w:rsidRPr="006C4B01">
              <w:rPr>
                <w:rFonts w:eastAsia="Calibri"/>
              </w:rPr>
              <w:t>A separate Form 1095-C for each full-time employee</w:t>
            </w:r>
          </w:p>
        </w:tc>
        <w:tc>
          <w:tcPr>
            <w:tcW w:w="2340" w:type="dxa"/>
            <w:tcBorders>
              <w:bottom w:val="single" w:sz="4" w:space="0" w:color="595959"/>
            </w:tcBorders>
            <w:shd w:val="clear" w:color="auto" w:fill="E7E6E6"/>
            <w:vAlign w:val="center"/>
          </w:tcPr>
          <w:p w:rsidR="00FD4D62" w:rsidRPr="006C4B01" w:rsidP="0064368E" w14:paraId="72877519" w14:textId="77777777">
            <w:pPr>
              <w:pStyle w:val="T-Text"/>
              <w:spacing w:before="60" w:after="60"/>
              <w:jc w:val="center"/>
            </w:pPr>
            <w:r w:rsidRPr="006C4B01">
              <w:t>A copy of his or her Form 1095-C</w:t>
            </w:r>
          </w:p>
        </w:tc>
      </w:tr>
      <w:tr w14:paraId="7FD4A8DF" w14:textId="77777777" w:rsidTr="006C699B">
        <w:tblPrEx>
          <w:tblW w:w="9985" w:type="dxa"/>
          <w:jc w:val="center"/>
          <w:tblLook w:val="04A0"/>
        </w:tblPrEx>
        <w:trPr>
          <w:trHeight w:val="557"/>
          <w:jc w:val="center"/>
        </w:trPr>
        <w:tc>
          <w:tcPr>
            <w:tcW w:w="1710" w:type="dxa"/>
            <w:tcBorders>
              <w:bottom w:val="single" w:sz="4" w:space="0" w:color="595959"/>
            </w:tcBorders>
            <w:shd w:val="clear" w:color="auto" w:fill="808080"/>
            <w:vAlign w:val="center"/>
          </w:tcPr>
          <w:p w:rsidR="00FD4D62" w:rsidRPr="00E216FF" w:rsidP="0064368E" w14:paraId="25965E71" w14:textId="0990B8B4">
            <w:pPr>
              <w:pStyle w:val="T-Text"/>
              <w:spacing w:before="60" w:after="60"/>
              <w:jc w:val="center"/>
              <w:rPr>
                <w:b/>
                <w:color w:val="FFFFFF"/>
              </w:rPr>
            </w:pPr>
            <w:r w:rsidRPr="00E216FF">
              <w:rPr>
                <w:b/>
                <w:color w:val="FFFFFF"/>
              </w:rPr>
              <w:t>Both Section</w:t>
            </w:r>
            <w:r w:rsidR="00284BF7">
              <w:rPr>
                <w:b/>
                <w:color w:val="FFFFFF"/>
              </w:rPr>
              <w:t>s</w:t>
            </w:r>
            <w:r w:rsidRPr="00E216FF">
              <w:rPr>
                <w:b/>
                <w:color w:val="FFFFFF"/>
              </w:rPr>
              <w:t xml:space="preserve"> 6055 &amp; 6056</w:t>
            </w:r>
          </w:p>
        </w:tc>
        <w:tc>
          <w:tcPr>
            <w:tcW w:w="5935" w:type="dxa"/>
            <w:tcBorders>
              <w:bottom w:val="single" w:sz="4" w:space="0" w:color="595959"/>
            </w:tcBorders>
            <w:shd w:val="clear" w:color="auto" w:fill="FFFFFF"/>
            <w:vAlign w:val="center"/>
          </w:tcPr>
          <w:p w:rsidR="00FD4D62" w:rsidRPr="006C4B01" w:rsidP="00F42E21" w14:paraId="14B1EA06" w14:textId="77777777">
            <w:pPr>
              <w:pStyle w:val="Bullet"/>
              <w:spacing w:before="60" w:after="60"/>
              <w:jc w:val="left"/>
              <w:rPr>
                <w:rFonts w:eastAsia="Calibri"/>
              </w:rPr>
            </w:pPr>
            <w:r w:rsidRPr="006C4B01">
              <w:rPr>
                <w:rFonts w:eastAsia="Calibri"/>
              </w:rPr>
              <w:t>One Form 1094-C; and</w:t>
            </w:r>
          </w:p>
          <w:p w:rsidR="00FD4D62" w:rsidRPr="006C4B01" w:rsidP="00F42E21" w14:paraId="086B9AE9" w14:textId="77777777">
            <w:pPr>
              <w:pStyle w:val="Bullet"/>
              <w:spacing w:before="60" w:after="60"/>
              <w:jc w:val="left"/>
              <w:rPr>
                <w:rFonts w:eastAsia="Calibri"/>
              </w:rPr>
            </w:pPr>
            <w:r w:rsidRPr="006C4B01">
              <w:rPr>
                <w:rFonts w:eastAsia="Calibri"/>
              </w:rPr>
              <w:t>A separate Form 1095-C for each full-time employee and each responsible individual</w:t>
            </w:r>
          </w:p>
        </w:tc>
        <w:tc>
          <w:tcPr>
            <w:tcW w:w="2340" w:type="dxa"/>
            <w:tcBorders>
              <w:bottom w:val="single" w:sz="4" w:space="0" w:color="595959"/>
            </w:tcBorders>
            <w:shd w:val="clear" w:color="auto" w:fill="FFFFFF"/>
            <w:vAlign w:val="center"/>
          </w:tcPr>
          <w:p w:rsidR="00FD4D62" w:rsidRPr="006C4B01" w:rsidP="0064368E" w14:paraId="23228F00" w14:textId="77777777">
            <w:pPr>
              <w:pStyle w:val="T-Text"/>
              <w:spacing w:before="60" w:after="60"/>
              <w:jc w:val="center"/>
            </w:pPr>
            <w:r w:rsidRPr="006C4B01">
              <w:t>A copy of his or her Form 1095-C</w:t>
            </w:r>
          </w:p>
        </w:tc>
      </w:tr>
    </w:tbl>
    <w:p w:rsidR="00753205" w:rsidP="00753205" w14:paraId="550ACE0B" w14:textId="3A2D0737">
      <w:pPr>
        <w:pStyle w:val="BodyText"/>
      </w:pPr>
      <w:r w:rsidRPr="00753205">
        <w:t xml:space="preserve">*For all years that the individual mandate penalty is zero, a </w:t>
      </w:r>
      <w:hyperlink r:id="rId14" w:history="1">
        <w:r w:rsidRPr="00753205">
          <w:rPr>
            <w:rStyle w:val="Hyperlink"/>
          </w:rPr>
          <w:t>proposed rule</w:t>
        </w:r>
      </w:hyperlink>
      <w:r w:rsidRPr="00753205">
        <w:t xml:space="preserve"> provides an alternative manner for a reporting entity to furnish statements to individuals under Section 6055. Under this alternative manner of furnishing, the reporting entity must post a clear and conspicuous notice on its website stating that responsible individuals may receive a copy of their statement upon request. The notice must include an email address, a physical address to which a request may be </w:t>
      </w:r>
      <w:r w:rsidRPr="00753205">
        <w:t>sent and a telephone number to contact the reporting entity with any questions. Reporting entities must generally retain the website notice until Oct. 15 of the year following the calendar year to which the statement relates. If, in the future, the individual mandate penalty is not zero, the IRS anticipates that reporting entities will need adequate time to develop or restart processes for preparing and mailing paper statements to responsible individuals. If the individual mandate penalty is modified in the future, the IRS anticipates providing guidance, if necessary, to allow sufficient time for reporting entities to restart the reporting process.</w:t>
      </w:r>
    </w:p>
    <w:p w:rsidR="00FD4D62" w:rsidRPr="001F226B" w:rsidP="00362823" w14:paraId="1C5F63DB" w14:textId="56F0200F">
      <w:pPr>
        <w:pStyle w:val="SectionedHeader"/>
      </w:pPr>
      <w:r>
        <w:t>Electronic Reporting</w:t>
      </w:r>
    </w:p>
    <w:p w:rsidR="00FD4D62" w:rsidRPr="001F226B" w:rsidP="00FD4D62" w14:paraId="12869151" w14:textId="759790BA">
      <w:pPr>
        <w:pStyle w:val="BodyText"/>
      </w:pPr>
      <w:r w:rsidRPr="000D5298">
        <w:rPr>
          <w:rFonts w:eastAsia="Calibri"/>
          <w:b/>
        </w:rPr>
        <w:t>Any reporting entity that is required to file at least 250 returns under Section 6055 or Section 6056 must file electronically</w:t>
      </w:r>
      <w:r w:rsidRPr="000D5298">
        <w:rPr>
          <w:rFonts w:eastAsia="Calibri"/>
        </w:rPr>
        <w:t>. The 250-or-more requirement applies separately to each type of return and separately to each type of corrected return.</w:t>
      </w:r>
      <w:r w:rsidRPr="007B6F26">
        <w:t xml:space="preserve"> </w:t>
      </w:r>
      <w:r>
        <w:t xml:space="preserve">Entities filing fewer than 250 returns during the calendar year may choose to file in paper </w:t>
      </w:r>
      <w:r w:rsidRPr="00AB12C2">
        <w:t>form</w:t>
      </w:r>
      <w:r>
        <w:t xml:space="preserve">, but are permitted (and encouraged) to file electronically. Electronic filing will be </w:t>
      </w:r>
      <w:r w:rsidRPr="00AB12C2">
        <w:t>done</w:t>
      </w:r>
      <w:r>
        <w:t xml:space="preserve"> using the </w:t>
      </w:r>
      <w:r w:rsidRPr="000855D1">
        <w:t>ACA Information Returns (AIR) Program</w:t>
      </w:r>
      <w:r>
        <w:t xml:space="preserve">. More information on the AIR Program is available on the </w:t>
      </w:r>
      <w:hyperlink r:id="rId15" w:history="1">
        <w:r w:rsidRPr="000855D1">
          <w:rPr>
            <w:rStyle w:val="Hyperlink"/>
          </w:rPr>
          <w:t>IRS website</w:t>
        </w:r>
      </w:hyperlink>
      <w:r>
        <w:t>.</w:t>
      </w:r>
    </w:p>
    <w:p w:rsidR="00FD4D62" w:rsidRPr="001F226B" w:rsidP="00FD4D62" w14:paraId="4F819236" w14:textId="77777777">
      <w:pPr>
        <w:pStyle w:val="BodyText"/>
      </w:pPr>
      <w:r>
        <w:t xml:space="preserve">Individual statements may also </w:t>
      </w:r>
      <w:r w:rsidRPr="005E4776">
        <w:t>be furnished electronically if certain notice, consent and hardware and software requirements are met (similar to the process</w:t>
      </w:r>
      <w:r>
        <w:t xml:space="preserve"> currently in place for the electronic furnishing of </w:t>
      </w:r>
      <w:r w:rsidRPr="00566B29">
        <w:t>employee</w:t>
      </w:r>
      <w:r>
        <w:t>s’</w:t>
      </w:r>
      <w:r w:rsidRPr="00566B29">
        <w:t xml:space="preserve"> Forms W-2).</w:t>
      </w:r>
    </w:p>
    <w:p w:rsidR="00FD4D62" w:rsidP="00F42E21" w14:paraId="38D30DE4" w14:textId="77777777">
      <w:pPr>
        <w:pStyle w:val="SectionedHeader"/>
      </w:pPr>
      <w:r>
        <w:t>Penalties</w:t>
      </w:r>
    </w:p>
    <w:p w:rsidR="00FD4D62" w:rsidP="00FD4D62" w14:paraId="13C8A95D" w14:textId="77777777">
      <w:pPr>
        <w:pStyle w:val="BodyText"/>
      </w:pPr>
      <w:r>
        <w:t>A reporting entity that fails to comply with the Section 6055 or Section 6056 reporting requirements may be subject to the general reporting penalties for failure to file correct information returns (under Code Section 6721) and failure to furnish correct payee statements (under Code Section 6722).</w:t>
      </w:r>
    </w:p>
    <w:p w:rsidR="00FD4D62" w:rsidP="00FD4D62" w14:paraId="14161DD8" w14:textId="08338342">
      <w:pPr>
        <w:pStyle w:val="BodyText"/>
      </w:pPr>
      <w:r>
        <w:t>Penalties may be waived if the failure is due to reasonable cause and not to willful neglect, or may be</w:t>
      </w:r>
      <w:r w:rsidRPr="001F5C6F">
        <w:t xml:space="preserve"> reduced if the </w:t>
      </w:r>
      <w:r>
        <w:t>failure is</w:t>
      </w:r>
      <w:r w:rsidRPr="001F5C6F">
        <w:t xml:space="preserve"> correct</w:t>
      </w:r>
      <w:r>
        <w:t>ed</w:t>
      </w:r>
      <w:r w:rsidRPr="001F5C6F">
        <w:t xml:space="preserve"> </w:t>
      </w:r>
      <w:r>
        <w:t xml:space="preserve">within a certain period of </w:t>
      </w:r>
      <w:r w:rsidRPr="001F226B">
        <w:t>time</w:t>
      </w:r>
      <w:r>
        <w:t xml:space="preserve">. Also, lower annual maximums apply for reporting entities that have average annual gross receipts of up to $5 million for the three most recent taxable years. </w:t>
      </w:r>
      <w:r w:rsidRPr="00A903DD" w:rsidR="00A903DD">
        <w:t>The</w:t>
      </w:r>
      <w:r w:rsidR="006C699B">
        <w:t xml:space="preserve"> penalty amounts for returns and statements required to be filed or furnished in</w:t>
      </w:r>
      <w:r>
        <w:t xml:space="preserve"> 20</w:t>
      </w:r>
      <w:r w:rsidR="00DF43A9">
        <w:t>2</w:t>
      </w:r>
      <w:r w:rsidR="00A903DD">
        <w:t>2</w:t>
      </w:r>
      <w:r>
        <w:t xml:space="preserve">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0"/>
        <w:gridCol w:w="1521"/>
        <w:gridCol w:w="1583"/>
        <w:gridCol w:w="4104"/>
      </w:tblGrid>
      <w:tr w14:paraId="37681416" w14:textId="77777777" w:rsidTr="00F42E2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440" w:type="dxa"/>
            <w:tcBorders>
              <w:top w:val="single" w:sz="18" w:space="0" w:color="FFFFFF"/>
              <w:left w:val="single" w:sz="18" w:space="0" w:color="FFFFFF"/>
              <w:bottom w:val="single" w:sz="18" w:space="0" w:color="FFFFFF"/>
              <w:right w:val="single" w:sz="18" w:space="0" w:color="FFFFFF"/>
            </w:tcBorders>
            <w:shd w:val="clear" w:color="auto" w:fill="CE2C43"/>
            <w:vAlign w:val="center"/>
          </w:tcPr>
          <w:p w:rsidR="00FD4D62" w:rsidRPr="007F1227" w:rsidP="00F42E21" w14:paraId="2F839EC4" w14:textId="77777777">
            <w:pPr>
              <w:pStyle w:val="TableHeader"/>
            </w:pPr>
            <w:r w:rsidRPr="007F1227">
              <w:t>Penalty Type</w:t>
            </w:r>
          </w:p>
        </w:tc>
        <w:tc>
          <w:tcPr>
            <w:tcW w:w="1521" w:type="dxa"/>
            <w:tcBorders>
              <w:top w:val="single" w:sz="18" w:space="0" w:color="FFFFFF"/>
              <w:left w:val="single" w:sz="18" w:space="0" w:color="FFFFFF"/>
              <w:bottom w:val="single" w:sz="18" w:space="0" w:color="FFFFFF"/>
              <w:right w:val="single" w:sz="18" w:space="0" w:color="FFFFFF"/>
            </w:tcBorders>
            <w:shd w:val="clear" w:color="auto" w:fill="CE2C43"/>
            <w:vAlign w:val="center"/>
          </w:tcPr>
          <w:p w:rsidR="00FD4D62" w:rsidRPr="007F1227" w:rsidP="00F42E21" w14:paraId="676EA0FD" w14:textId="77777777">
            <w:pPr>
              <w:pStyle w:val="TableHeader"/>
            </w:pPr>
            <w:r w:rsidRPr="007F1227">
              <w:t>Per Violation</w:t>
            </w:r>
          </w:p>
        </w:tc>
        <w:tc>
          <w:tcPr>
            <w:tcW w:w="1583" w:type="dxa"/>
            <w:tcBorders>
              <w:top w:val="single" w:sz="18" w:space="0" w:color="FFFFFF"/>
              <w:left w:val="single" w:sz="18" w:space="0" w:color="FFFFFF"/>
              <w:bottom w:val="single" w:sz="18" w:space="0" w:color="FFFFFF"/>
              <w:right w:val="single" w:sz="18" w:space="0" w:color="FFFFFF"/>
            </w:tcBorders>
            <w:shd w:val="clear" w:color="auto" w:fill="CE2C43"/>
            <w:vAlign w:val="center"/>
          </w:tcPr>
          <w:p w:rsidR="00FD4D62" w:rsidRPr="007F1227" w:rsidP="00F42E21" w14:paraId="1A22F74F" w14:textId="77777777">
            <w:pPr>
              <w:pStyle w:val="TableHeader"/>
            </w:pPr>
            <w:r w:rsidRPr="007F1227">
              <w:t>Annual Maximum</w:t>
            </w:r>
          </w:p>
        </w:tc>
        <w:tc>
          <w:tcPr>
            <w:tcW w:w="4104" w:type="dxa"/>
            <w:tcBorders>
              <w:top w:val="single" w:sz="18" w:space="0" w:color="FFFFFF"/>
              <w:left w:val="single" w:sz="18" w:space="0" w:color="FFFFFF"/>
              <w:bottom w:val="single" w:sz="18" w:space="0" w:color="FFFFFF"/>
              <w:right w:val="single" w:sz="18" w:space="0" w:color="FFFFFF"/>
            </w:tcBorders>
            <w:shd w:val="clear" w:color="auto" w:fill="CE2C43"/>
            <w:vAlign w:val="center"/>
          </w:tcPr>
          <w:p w:rsidR="00FD4D62" w:rsidRPr="007F1227" w:rsidP="00F42E21" w14:paraId="4A764CAB" w14:textId="77777777">
            <w:pPr>
              <w:pStyle w:val="TableHeader"/>
            </w:pPr>
            <w:r w:rsidRPr="007F1227">
              <w:t>Annual Maximum for Employers with ≤$5 Million in Gross Receipts</w:t>
            </w:r>
          </w:p>
        </w:tc>
      </w:tr>
      <w:tr w14:paraId="6A106915" w14:textId="77777777" w:rsidTr="0064368E">
        <w:tblPrEx>
          <w:tblW w:w="0" w:type="auto"/>
          <w:jc w:val="center"/>
          <w:tblLook w:val="04A0"/>
        </w:tblPrEx>
        <w:trPr>
          <w:jc w:val="center"/>
        </w:trPr>
        <w:tc>
          <w:tcPr>
            <w:tcW w:w="2440" w:type="dxa"/>
            <w:tcBorders>
              <w:top w:val="single" w:sz="18" w:space="0" w:color="FFFFFF"/>
              <w:left w:val="single" w:sz="18" w:space="0" w:color="FFFFFF"/>
              <w:bottom w:val="single" w:sz="18" w:space="0" w:color="FFFFFF"/>
              <w:right w:val="single" w:sz="18" w:space="0" w:color="FFFFFF"/>
            </w:tcBorders>
            <w:shd w:val="clear" w:color="auto" w:fill="7F7F7F"/>
            <w:vAlign w:val="center"/>
          </w:tcPr>
          <w:p w:rsidR="00FD4D62" w:rsidRPr="00E216FF" w:rsidP="0064368E" w14:paraId="2ED77346" w14:textId="77777777">
            <w:pPr>
              <w:pStyle w:val="T-Text"/>
              <w:spacing w:before="60" w:after="60"/>
              <w:jc w:val="center"/>
              <w:rPr>
                <w:b/>
                <w:color w:val="FFFFFF"/>
              </w:rPr>
            </w:pPr>
            <w:r w:rsidRPr="00E216FF">
              <w:rPr>
                <w:b/>
                <w:color w:val="FFFFFF"/>
              </w:rPr>
              <w:t>General</w:t>
            </w:r>
          </w:p>
        </w:tc>
        <w:tc>
          <w:tcPr>
            <w:tcW w:w="1521"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FD4D62" w:rsidRPr="006C4B01" w:rsidP="0064368E" w14:paraId="1A6E11C2" w14:textId="2CF86904">
            <w:pPr>
              <w:pStyle w:val="T-Text"/>
              <w:spacing w:before="60" w:after="60"/>
              <w:jc w:val="center"/>
              <w:rPr>
                <w:b/>
              </w:rPr>
            </w:pPr>
            <w:r>
              <w:rPr>
                <w:b/>
              </w:rPr>
              <w:t>$2</w:t>
            </w:r>
            <w:r w:rsidR="008D26B7">
              <w:rPr>
                <w:b/>
              </w:rPr>
              <w:t>8</w:t>
            </w:r>
            <w:r w:rsidRPr="006C4B01">
              <w:rPr>
                <w:b/>
              </w:rPr>
              <w:t>0</w:t>
            </w:r>
          </w:p>
        </w:tc>
        <w:tc>
          <w:tcPr>
            <w:tcW w:w="1583"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FD4D62" w:rsidRPr="006C4B01" w:rsidP="0064368E" w14:paraId="0BAC0457" w14:textId="61560A9D">
            <w:pPr>
              <w:pStyle w:val="T-Text"/>
              <w:spacing w:before="60" w:after="60"/>
              <w:jc w:val="center"/>
              <w:rPr>
                <w:b/>
              </w:rPr>
            </w:pPr>
            <w:r w:rsidRPr="006C4B01">
              <w:rPr>
                <w:b/>
              </w:rPr>
              <w:t>$3,</w:t>
            </w:r>
            <w:r w:rsidR="00753205">
              <w:rPr>
                <w:b/>
              </w:rPr>
              <w:t>4</w:t>
            </w:r>
            <w:r w:rsidR="008D26B7">
              <w:rPr>
                <w:b/>
              </w:rPr>
              <w:t>2</w:t>
            </w:r>
            <w:r w:rsidR="00753205">
              <w:rPr>
                <w:b/>
              </w:rPr>
              <w:t>6</w:t>
            </w:r>
            <w:r w:rsidRPr="006C4B01">
              <w:rPr>
                <w:b/>
              </w:rPr>
              <w:t>,</w:t>
            </w:r>
            <w:r>
              <w:rPr>
                <w:b/>
              </w:rPr>
              <w:t>0</w:t>
            </w:r>
            <w:r w:rsidRPr="006C4B01">
              <w:rPr>
                <w:b/>
              </w:rPr>
              <w:t>00</w:t>
            </w:r>
          </w:p>
        </w:tc>
        <w:tc>
          <w:tcPr>
            <w:tcW w:w="410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FD4D62" w:rsidRPr="006C4B01" w:rsidP="0064368E" w14:paraId="612F2E4F" w14:textId="78C4BAD4">
            <w:pPr>
              <w:pStyle w:val="T-Text"/>
              <w:spacing w:before="60" w:after="60"/>
              <w:jc w:val="center"/>
              <w:rPr>
                <w:b/>
              </w:rPr>
            </w:pPr>
            <w:r w:rsidRPr="006C4B01">
              <w:rPr>
                <w:b/>
              </w:rPr>
              <w:t>$</w:t>
            </w:r>
            <w:r>
              <w:rPr>
                <w:b/>
              </w:rPr>
              <w:t>1,1</w:t>
            </w:r>
            <w:r w:rsidR="00753205">
              <w:rPr>
                <w:b/>
              </w:rPr>
              <w:t>42</w:t>
            </w:r>
            <w:r w:rsidRPr="006C4B01">
              <w:rPr>
                <w:b/>
              </w:rPr>
              <w:t>,</w:t>
            </w:r>
            <w:r>
              <w:rPr>
                <w:b/>
              </w:rPr>
              <w:t>0</w:t>
            </w:r>
            <w:r w:rsidRPr="006C4B01">
              <w:rPr>
                <w:b/>
              </w:rPr>
              <w:t>00</w:t>
            </w:r>
          </w:p>
        </w:tc>
      </w:tr>
      <w:tr w14:paraId="73391D94" w14:textId="77777777" w:rsidTr="0064368E">
        <w:tblPrEx>
          <w:tblW w:w="0" w:type="auto"/>
          <w:jc w:val="center"/>
          <w:tblLook w:val="04A0"/>
        </w:tblPrEx>
        <w:trPr>
          <w:jc w:val="center"/>
        </w:trPr>
        <w:tc>
          <w:tcPr>
            <w:tcW w:w="2440" w:type="dxa"/>
            <w:tcBorders>
              <w:top w:val="single" w:sz="18" w:space="0" w:color="FFFFFF"/>
              <w:left w:val="single" w:sz="18" w:space="0" w:color="FFFFFF"/>
              <w:bottom w:val="single" w:sz="18" w:space="0" w:color="FFFFFF"/>
              <w:right w:val="single" w:sz="18" w:space="0" w:color="FFFFFF"/>
            </w:tcBorders>
            <w:shd w:val="clear" w:color="auto" w:fill="7F7F7F"/>
            <w:vAlign w:val="center"/>
          </w:tcPr>
          <w:p w:rsidR="00FD4D62" w:rsidRPr="00E216FF" w:rsidP="0064368E" w14:paraId="129C4969" w14:textId="77777777">
            <w:pPr>
              <w:pStyle w:val="T-Text"/>
              <w:spacing w:before="60" w:after="60"/>
              <w:jc w:val="center"/>
              <w:rPr>
                <w:b/>
                <w:color w:val="FFFFFF"/>
              </w:rPr>
            </w:pPr>
            <w:r w:rsidRPr="00E216FF">
              <w:rPr>
                <w:b/>
                <w:color w:val="FFFFFF"/>
              </w:rPr>
              <w:t>Corrected within 30 days</w:t>
            </w:r>
          </w:p>
        </w:tc>
        <w:tc>
          <w:tcPr>
            <w:tcW w:w="1521"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FD4D62" w:rsidRPr="006C4B01" w:rsidP="0064368E" w14:paraId="10B90183" w14:textId="77777777">
            <w:pPr>
              <w:pStyle w:val="T-Text"/>
              <w:spacing w:before="60" w:after="60"/>
              <w:jc w:val="center"/>
              <w:rPr>
                <w:b/>
              </w:rPr>
            </w:pPr>
            <w:r w:rsidRPr="006C4B01">
              <w:rPr>
                <w:b/>
              </w:rPr>
              <w:t>$50</w:t>
            </w:r>
          </w:p>
        </w:tc>
        <w:tc>
          <w:tcPr>
            <w:tcW w:w="1583"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FD4D62" w:rsidRPr="006C4B01" w:rsidP="0064368E" w14:paraId="247BB331" w14:textId="7956F1B2">
            <w:pPr>
              <w:pStyle w:val="T-Text"/>
              <w:spacing w:before="60" w:after="60"/>
              <w:jc w:val="center"/>
              <w:rPr>
                <w:b/>
              </w:rPr>
            </w:pPr>
            <w:r>
              <w:rPr>
                <w:b/>
              </w:rPr>
              <w:t>$5</w:t>
            </w:r>
            <w:r w:rsidR="00753205">
              <w:rPr>
                <w:b/>
              </w:rPr>
              <w:t>71</w:t>
            </w:r>
            <w:r w:rsidRPr="006C4B01">
              <w:rPr>
                <w:b/>
              </w:rPr>
              <w:t>,</w:t>
            </w:r>
            <w:r w:rsidR="008D26B7">
              <w:rPr>
                <w:b/>
              </w:rPr>
              <w:t>0</w:t>
            </w:r>
            <w:r w:rsidRPr="006C4B01">
              <w:rPr>
                <w:b/>
              </w:rPr>
              <w:t>00</w:t>
            </w:r>
          </w:p>
        </w:tc>
        <w:tc>
          <w:tcPr>
            <w:tcW w:w="4104"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FD4D62" w:rsidRPr="006C4B01" w:rsidP="0064368E" w14:paraId="389625E9" w14:textId="76F13EFB">
            <w:pPr>
              <w:pStyle w:val="T-Text"/>
              <w:spacing w:before="60" w:after="60"/>
              <w:jc w:val="center"/>
              <w:rPr>
                <w:b/>
              </w:rPr>
            </w:pPr>
            <w:r w:rsidRPr="006C4B01">
              <w:rPr>
                <w:b/>
              </w:rPr>
              <w:t>$</w:t>
            </w:r>
            <w:r>
              <w:rPr>
                <w:b/>
              </w:rPr>
              <w:t>19</w:t>
            </w:r>
            <w:r w:rsidR="00753205">
              <w:rPr>
                <w:b/>
              </w:rPr>
              <w:t>9</w:t>
            </w:r>
            <w:r w:rsidRPr="006C4B01">
              <w:rPr>
                <w:b/>
              </w:rPr>
              <w:t>,</w:t>
            </w:r>
            <w:r>
              <w:rPr>
                <w:b/>
              </w:rPr>
              <w:t>5</w:t>
            </w:r>
            <w:r w:rsidRPr="006C4B01">
              <w:rPr>
                <w:b/>
              </w:rPr>
              <w:t>00</w:t>
            </w:r>
          </w:p>
        </w:tc>
      </w:tr>
      <w:tr w14:paraId="1D09C39D" w14:textId="77777777" w:rsidTr="0064368E">
        <w:tblPrEx>
          <w:tblW w:w="0" w:type="auto"/>
          <w:jc w:val="center"/>
          <w:tblLook w:val="04A0"/>
        </w:tblPrEx>
        <w:trPr>
          <w:jc w:val="center"/>
        </w:trPr>
        <w:tc>
          <w:tcPr>
            <w:tcW w:w="2440" w:type="dxa"/>
            <w:tcBorders>
              <w:top w:val="single" w:sz="18" w:space="0" w:color="FFFFFF"/>
              <w:left w:val="single" w:sz="18" w:space="0" w:color="FFFFFF"/>
              <w:bottom w:val="single" w:sz="18" w:space="0" w:color="FFFFFF"/>
              <w:right w:val="single" w:sz="18" w:space="0" w:color="FFFFFF"/>
            </w:tcBorders>
            <w:shd w:val="clear" w:color="auto" w:fill="7F7F7F"/>
            <w:vAlign w:val="center"/>
          </w:tcPr>
          <w:p w:rsidR="00FD4D62" w:rsidRPr="00E216FF" w:rsidP="0064368E" w14:paraId="7130B0F9" w14:textId="77777777">
            <w:pPr>
              <w:pStyle w:val="T-Text"/>
              <w:spacing w:before="60" w:after="60"/>
              <w:jc w:val="center"/>
              <w:rPr>
                <w:b/>
                <w:color w:val="FFFFFF"/>
              </w:rPr>
            </w:pPr>
            <w:r w:rsidRPr="00E216FF">
              <w:rPr>
                <w:b/>
                <w:color w:val="FFFFFF"/>
              </w:rPr>
              <w:t>Corrected after 30 days, but before Aug. 1</w:t>
            </w:r>
          </w:p>
        </w:tc>
        <w:tc>
          <w:tcPr>
            <w:tcW w:w="1521"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FD4D62" w:rsidRPr="006C4B01" w:rsidP="0064368E" w14:paraId="7402242F" w14:textId="77777777">
            <w:pPr>
              <w:pStyle w:val="T-Text"/>
              <w:spacing w:before="60" w:after="60"/>
              <w:jc w:val="center"/>
              <w:rPr>
                <w:b/>
              </w:rPr>
            </w:pPr>
            <w:r w:rsidRPr="006C4B01">
              <w:rPr>
                <w:b/>
              </w:rPr>
              <w:t>$1</w:t>
            </w:r>
            <w:r>
              <w:rPr>
                <w:b/>
              </w:rPr>
              <w:t>1</w:t>
            </w:r>
            <w:r w:rsidRPr="006C4B01">
              <w:rPr>
                <w:b/>
              </w:rPr>
              <w:t>0</w:t>
            </w:r>
          </w:p>
        </w:tc>
        <w:tc>
          <w:tcPr>
            <w:tcW w:w="1583"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FD4D62" w:rsidRPr="006C4B01" w:rsidP="0064368E" w14:paraId="1133164A" w14:textId="25460F8C">
            <w:pPr>
              <w:pStyle w:val="T-Text"/>
              <w:spacing w:before="60" w:after="60"/>
              <w:jc w:val="center"/>
              <w:rPr>
                <w:b/>
              </w:rPr>
            </w:pPr>
            <w:r w:rsidRPr="006C4B01">
              <w:rPr>
                <w:b/>
              </w:rPr>
              <w:t>$1,</w:t>
            </w:r>
            <w:r w:rsidR="00753205">
              <w:rPr>
                <w:b/>
              </w:rPr>
              <w:t>713</w:t>
            </w:r>
            <w:r w:rsidRPr="006C4B01">
              <w:rPr>
                <w:b/>
              </w:rPr>
              <w:t>,</w:t>
            </w:r>
            <w:r w:rsidR="008D26B7">
              <w:rPr>
                <w:b/>
              </w:rPr>
              <w:t>0</w:t>
            </w:r>
            <w:r w:rsidRPr="006C4B01">
              <w:rPr>
                <w:b/>
              </w:rPr>
              <w:t>00</w:t>
            </w:r>
          </w:p>
        </w:tc>
        <w:tc>
          <w:tcPr>
            <w:tcW w:w="4104" w:type="dxa"/>
            <w:tcBorders>
              <w:top w:val="single" w:sz="18" w:space="0" w:color="FFFFFF"/>
              <w:left w:val="single" w:sz="18" w:space="0" w:color="FFFFFF"/>
              <w:bottom w:val="single" w:sz="18" w:space="0" w:color="FFFFFF"/>
              <w:right w:val="single" w:sz="18" w:space="0" w:color="FFFFFF"/>
            </w:tcBorders>
            <w:shd w:val="clear" w:color="auto" w:fill="F2F2F2"/>
            <w:vAlign w:val="center"/>
          </w:tcPr>
          <w:p w:rsidR="00FD4D62" w:rsidRPr="006C4B01" w:rsidP="0064368E" w14:paraId="6FEAC80E" w14:textId="290A9D21">
            <w:pPr>
              <w:pStyle w:val="T-Text"/>
              <w:spacing w:before="60" w:after="60"/>
              <w:jc w:val="center"/>
              <w:rPr>
                <w:b/>
              </w:rPr>
            </w:pPr>
            <w:r w:rsidRPr="006C4B01">
              <w:rPr>
                <w:b/>
              </w:rPr>
              <w:t>$</w:t>
            </w:r>
            <w:r>
              <w:rPr>
                <w:b/>
              </w:rPr>
              <w:t>5</w:t>
            </w:r>
            <w:r w:rsidR="00753205">
              <w:rPr>
                <w:b/>
              </w:rPr>
              <w:t>71</w:t>
            </w:r>
            <w:r w:rsidRPr="006C4B01">
              <w:rPr>
                <w:b/>
              </w:rPr>
              <w:t>,</w:t>
            </w:r>
            <w:r w:rsidR="00753205">
              <w:rPr>
                <w:b/>
              </w:rPr>
              <w:t>0</w:t>
            </w:r>
            <w:r w:rsidRPr="006C4B01">
              <w:rPr>
                <w:b/>
              </w:rPr>
              <w:t>00</w:t>
            </w:r>
          </w:p>
        </w:tc>
      </w:tr>
      <w:tr w14:paraId="65460759" w14:textId="77777777" w:rsidTr="0064368E">
        <w:tblPrEx>
          <w:tblW w:w="0" w:type="auto"/>
          <w:jc w:val="center"/>
          <w:tblLook w:val="04A0"/>
        </w:tblPrEx>
        <w:trPr>
          <w:trHeight w:val="85"/>
          <w:jc w:val="center"/>
        </w:trPr>
        <w:tc>
          <w:tcPr>
            <w:tcW w:w="2440" w:type="dxa"/>
            <w:tcBorders>
              <w:top w:val="single" w:sz="18" w:space="0" w:color="FFFFFF"/>
              <w:left w:val="single" w:sz="18" w:space="0" w:color="FFFFFF"/>
              <w:bottom w:val="single" w:sz="18" w:space="0" w:color="FFFFFF"/>
              <w:right w:val="single" w:sz="18" w:space="0" w:color="FFFFFF"/>
            </w:tcBorders>
            <w:shd w:val="clear" w:color="auto" w:fill="7F7F7F"/>
            <w:vAlign w:val="center"/>
          </w:tcPr>
          <w:p w:rsidR="00FD4D62" w:rsidRPr="00E216FF" w:rsidP="0064368E" w14:paraId="1AA221B3" w14:textId="77777777">
            <w:pPr>
              <w:pStyle w:val="T-Text"/>
              <w:spacing w:before="60" w:after="60"/>
              <w:jc w:val="center"/>
              <w:rPr>
                <w:b/>
                <w:color w:val="FFFFFF"/>
              </w:rPr>
            </w:pPr>
            <w:r w:rsidRPr="00E216FF">
              <w:rPr>
                <w:b/>
                <w:color w:val="FFFFFF"/>
              </w:rPr>
              <w:t>Intentional disregard</w:t>
            </w:r>
          </w:p>
        </w:tc>
        <w:tc>
          <w:tcPr>
            <w:tcW w:w="1521"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FD4D62" w:rsidRPr="006C4B01" w:rsidP="0064368E" w14:paraId="58F38453" w14:textId="1B20F6AE">
            <w:pPr>
              <w:pStyle w:val="T-Text"/>
              <w:spacing w:before="60" w:after="60"/>
              <w:jc w:val="center"/>
              <w:rPr>
                <w:b/>
              </w:rPr>
            </w:pPr>
            <w:r>
              <w:rPr>
                <w:b/>
              </w:rPr>
              <w:t>$5</w:t>
            </w:r>
            <w:r w:rsidR="00753205">
              <w:rPr>
                <w:b/>
              </w:rPr>
              <w:t>7</w:t>
            </w:r>
            <w:r w:rsidRPr="006C4B01">
              <w:rPr>
                <w:b/>
              </w:rPr>
              <w:t>0*</w:t>
            </w:r>
          </w:p>
        </w:tc>
        <w:tc>
          <w:tcPr>
            <w:tcW w:w="1583"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FD4D62" w:rsidRPr="006C4B01" w:rsidP="0064368E" w14:paraId="11285C1E" w14:textId="77777777">
            <w:pPr>
              <w:pStyle w:val="T-Text"/>
              <w:spacing w:before="60" w:after="60"/>
              <w:jc w:val="center"/>
              <w:rPr>
                <w:b/>
              </w:rPr>
            </w:pPr>
            <w:r w:rsidRPr="006C4B01">
              <w:rPr>
                <w:b/>
              </w:rPr>
              <w:t>None</w:t>
            </w:r>
          </w:p>
        </w:tc>
        <w:tc>
          <w:tcPr>
            <w:tcW w:w="4104"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FD4D62" w:rsidRPr="006C4B01" w:rsidP="0064368E" w14:paraId="546296F5" w14:textId="77777777">
            <w:pPr>
              <w:pStyle w:val="T-Text"/>
              <w:spacing w:before="60" w:after="60"/>
              <w:jc w:val="center"/>
              <w:rPr>
                <w:b/>
              </w:rPr>
            </w:pPr>
            <w:r w:rsidRPr="006C4B01">
              <w:rPr>
                <w:b/>
              </w:rPr>
              <w:t>N/A</w:t>
            </w:r>
          </w:p>
        </w:tc>
      </w:tr>
    </w:tbl>
    <w:p w:rsidR="00FD4D62" w:rsidP="008D4243" w14:paraId="4A94D313" w14:textId="77777777">
      <w:pPr>
        <w:pStyle w:val="BodyText"/>
        <w:ind w:left="630" w:right="630"/>
        <w:rPr>
          <w:i/>
        </w:rPr>
      </w:pPr>
      <w:r w:rsidRPr="005E4776">
        <w:rPr>
          <w:i/>
        </w:rPr>
        <w:t xml:space="preserve">*For failures due to intentional disregard, the penalty </w:t>
      </w:r>
      <w:r>
        <w:rPr>
          <w:i/>
        </w:rPr>
        <w:t>is</w:t>
      </w:r>
      <w:r w:rsidRPr="005E4776">
        <w:rPr>
          <w:i/>
        </w:rPr>
        <w:t xml:space="preserve"> equal to the greater of either the listed penalty amount or 10</w:t>
      </w:r>
      <w:r>
        <w:rPr>
          <w:i/>
        </w:rPr>
        <w:t>%</w:t>
      </w:r>
      <w:r w:rsidRPr="005E4776">
        <w:rPr>
          <w:i/>
        </w:rPr>
        <w:t xml:space="preserve"> of the aggregate amount of the items required to be reported correctly.</w:t>
      </w:r>
    </w:p>
    <w:p w:rsidR="00FD4D62" w:rsidRPr="00D54FCD" w:rsidP="00F42E21" w14:paraId="4A724F67" w14:textId="77777777">
      <w:pPr>
        <w:pStyle w:val="BodyText"/>
      </w:pPr>
      <w:r>
        <w:rPr>
          <w:noProof/>
        </w:rPr>
        <mc:AlternateContent>
          <mc:Choice Requires="wps">
            <w:drawing>
              <wp:inline distT="0" distB="0" distL="0" distR="0">
                <wp:extent cx="6824621" cy="1558456"/>
                <wp:effectExtent l="19050" t="19050" r="14605" b="22860"/>
                <wp:docPr id="56" name="Text Box 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4621" cy="1558456"/>
                        </a:xfrm>
                        <a:prstGeom prst="rect">
                          <a:avLst/>
                        </a:prstGeom>
                        <a:solidFill>
                          <a:srgbClr val="F2F2F2"/>
                        </a:solidFill>
                        <a:ln w="28575">
                          <a:solidFill>
                            <a:srgbClr val="CE2C43"/>
                          </a:solidFill>
                          <a:miter lim="800000"/>
                          <a:headEnd/>
                          <a:tailEnd/>
                        </a:ln>
                      </wps:spPr>
                      <wps:txbx>
                        <w:txbxContent>
                          <w:p w:rsidR="00763EB7" w:rsidRPr="00763EB7" w:rsidP="00763EB7" w14:textId="77777777">
                            <w:pPr>
                              <w:pStyle w:val="T-Subheading"/>
                              <w:rPr>
                                <w:color w:val="CE2C43"/>
                              </w:rPr>
                            </w:pPr>
                            <w:r>
                              <w:rPr>
                                <w:color w:val="CE2C43"/>
                              </w:rPr>
                              <w:t>Prepare for health plan reporting</w:t>
                            </w:r>
                            <w:r w:rsidRPr="00763EB7">
                              <w:rPr>
                                <w:color w:val="CE2C43"/>
                              </w:rPr>
                              <w:t>:</w:t>
                            </w:r>
                          </w:p>
                          <w:p w:rsidR="00F42E21" w:rsidRPr="00B64AE4" w:rsidP="00F42E21" w14:textId="77777777">
                            <w:pPr>
                              <w:pStyle w:val="T-BulletList"/>
                            </w:pPr>
                            <w:r w:rsidRPr="00B64AE4">
                              <w:t>Determine which reporting requirements apply to you and your health plans.</w:t>
                            </w:r>
                          </w:p>
                          <w:p w:rsidR="00F42E21" w:rsidP="00F42E21" w14:textId="2D700355">
                            <w:pPr>
                              <w:pStyle w:val="T-BulletList"/>
                            </w:pPr>
                            <w:r>
                              <w:t>Determine</w:t>
                            </w:r>
                            <w:r w:rsidRPr="00B64AE4">
                              <w:t xml:space="preserve"> the information you will need for reporting</w:t>
                            </w:r>
                            <w:r w:rsidR="001E472E">
                              <w:t>,</w:t>
                            </w:r>
                            <w:r w:rsidRPr="00B64AE4">
                              <w:t xml:space="preserve"> and coordinate internal and external resources to hel</w:t>
                            </w:r>
                            <w:r>
                              <w:t>p compile</w:t>
                            </w:r>
                            <w:r w:rsidRPr="00B64AE4">
                              <w:t xml:space="preserve"> the required data.</w:t>
                            </w:r>
                          </w:p>
                          <w:p w:rsidR="00763EB7" w:rsidP="00F42E21" w14:textId="37E1DEDC">
                            <w:pPr>
                              <w:pStyle w:val="T-BulletList"/>
                            </w:pPr>
                            <w:r w:rsidRPr="005E4776">
                              <w:t xml:space="preserve">Complete the appropriate forms. Furnish statements to individuals on or before </w:t>
                            </w:r>
                            <w:r w:rsidR="008D4243">
                              <w:t>Jan</w:t>
                            </w:r>
                            <w:r>
                              <w:t xml:space="preserve">. </w:t>
                            </w:r>
                            <w:r w:rsidR="008D4243">
                              <w:t>3</w:t>
                            </w:r>
                            <w:r>
                              <w:t>1</w:t>
                            </w:r>
                            <w:r w:rsidRPr="005E4776">
                              <w:t>, 20</w:t>
                            </w:r>
                            <w:r>
                              <w:t>2</w:t>
                            </w:r>
                            <w:r w:rsidR="008D4243">
                              <w:t>2</w:t>
                            </w:r>
                            <w:r w:rsidRPr="005E4776">
                              <w:t xml:space="preserve">, and file returns with the IRS on or before </w:t>
                            </w:r>
                            <w:r w:rsidR="008D4243">
                              <w:t>Feb. 28</w:t>
                            </w:r>
                            <w:r w:rsidRPr="005E4776">
                              <w:t>, 20</w:t>
                            </w:r>
                            <w:r>
                              <w:t>2</w:t>
                            </w:r>
                            <w:r w:rsidR="008D4243">
                              <w:t>2</w:t>
                            </w:r>
                            <w:r>
                              <w:t xml:space="preserve"> (March 31, 202</w:t>
                            </w:r>
                            <w:r w:rsidR="008D4243">
                              <w:t>2</w:t>
                            </w:r>
                            <w:r w:rsidRPr="005E4776">
                              <w:t>, if filing electronically).</w:t>
                            </w:r>
                          </w:p>
                        </w:txbxContent>
                      </wps:txbx>
                      <wps:bodyPr rot="0" vert="horz" wrap="square" lIns="91440" tIns="45720" rIns="91440" bIns="45720" anchor="t" anchorCtr="0" upright="1"/>
                    </wps:wsp>
                  </a:graphicData>
                </a:graphic>
              </wp:inline>
            </w:drawing>
          </mc:Choice>
          <mc:Fallback>
            <w:pict>
              <v:shape id="Text Box 56" o:spid="_x0000_i1044" type="#_x0000_t202" style="width:537.37pt;height:122.71pt;mso-wrap-distance-bottom:0;mso-wrap-distance-left:0;mso-wrap-distance-right:0;mso-wrap-distance-top:0;v-text-anchor:top" fillcolor="#f2f2f2" stroked="t" strokecolor="#ce2c43" strokeweight="2.25pt">
                <v:textbox>
                  <w:txbxContent>
                    <w:p w:rsidR="00763EB7" w:rsidRPr="00763EB7" w:rsidP="00763EB7" w14:paraId="51AF7ADF" w14:textId="77777777">
                      <w:pPr>
                        <w:pStyle w:val="T-Subheading"/>
                        <w:rPr>
                          <w:color w:val="CE2C43"/>
                        </w:rPr>
                      </w:pPr>
                      <w:r>
                        <w:rPr>
                          <w:color w:val="CE2C43"/>
                        </w:rPr>
                        <w:t>Prepare for health plan reporting</w:t>
                      </w:r>
                      <w:r w:rsidRPr="00763EB7">
                        <w:rPr>
                          <w:color w:val="CE2C43"/>
                        </w:rPr>
                        <w:t>:</w:t>
                      </w:r>
                    </w:p>
                    <w:p w:rsidR="00F42E21" w:rsidRPr="00B64AE4" w:rsidP="00F42E21" w14:paraId="54098C0F" w14:textId="77777777">
                      <w:pPr>
                        <w:pStyle w:val="T-BulletList"/>
                      </w:pPr>
                      <w:r w:rsidRPr="00B64AE4">
                        <w:t>Determine which reporting requirements apply to you and your health plans.</w:t>
                      </w:r>
                    </w:p>
                    <w:p w:rsidR="00F42E21" w:rsidP="00F42E21" w14:paraId="0D4F0D7E" w14:textId="2D700355">
                      <w:pPr>
                        <w:pStyle w:val="T-BulletList"/>
                      </w:pPr>
                      <w:r>
                        <w:t>Determine</w:t>
                      </w:r>
                      <w:r w:rsidRPr="00B64AE4">
                        <w:t xml:space="preserve"> the information you will need for reporting</w:t>
                      </w:r>
                      <w:r w:rsidR="001E472E">
                        <w:t>,</w:t>
                      </w:r>
                      <w:r w:rsidRPr="00B64AE4">
                        <w:t xml:space="preserve"> and coordinate internal and external resources to hel</w:t>
                      </w:r>
                      <w:r>
                        <w:t>p compile</w:t>
                      </w:r>
                      <w:r w:rsidRPr="00B64AE4">
                        <w:t xml:space="preserve"> the required data.</w:t>
                      </w:r>
                    </w:p>
                    <w:p w:rsidR="00763EB7" w:rsidP="00F42E21" w14:paraId="2CC55FC9" w14:textId="37E1DEDC">
                      <w:pPr>
                        <w:pStyle w:val="T-BulletList"/>
                      </w:pPr>
                      <w:r w:rsidRPr="005E4776">
                        <w:t xml:space="preserve">Complete the appropriate forms. Furnish statements to individuals on or before </w:t>
                      </w:r>
                      <w:r w:rsidR="008D4243">
                        <w:t>Jan</w:t>
                      </w:r>
                      <w:r>
                        <w:t xml:space="preserve">. </w:t>
                      </w:r>
                      <w:r w:rsidR="008D4243">
                        <w:t>3</w:t>
                      </w:r>
                      <w:r>
                        <w:t>1</w:t>
                      </w:r>
                      <w:r w:rsidRPr="005E4776">
                        <w:t>, 20</w:t>
                      </w:r>
                      <w:r>
                        <w:t>2</w:t>
                      </w:r>
                      <w:r w:rsidR="008D4243">
                        <w:t>2</w:t>
                      </w:r>
                      <w:r w:rsidRPr="005E4776">
                        <w:t xml:space="preserve">, and file returns with the IRS on or before </w:t>
                      </w:r>
                      <w:r w:rsidR="008D4243">
                        <w:t>Feb. 28</w:t>
                      </w:r>
                      <w:r w:rsidRPr="005E4776">
                        <w:t>, 20</w:t>
                      </w:r>
                      <w:r>
                        <w:t>2</w:t>
                      </w:r>
                      <w:r w:rsidR="008D4243">
                        <w:t>2</w:t>
                      </w:r>
                      <w:r>
                        <w:t xml:space="preserve"> (March 31, 202</w:t>
                      </w:r>
                      <w:r w:rsidR="008D4243">
                        <w:t>2</w:t>
                      </w:r>
                      <w:r w:rsidRPr="005E4776">
                        <w:t>, if filing electronically).</w:t>
                      </w:r>
                    </w:p>
                  </w:txbxContent>
                </v:textbox>
                <w10:anchorlock/>
              </v:shape>
            </w:pict>
          </mc:Fallback>
        </mc:AlternateContent>
      </w:r>
    </w:p>
    <w:p w:rsidR="00D77EDD" w14:paraId="2EF19D49" w14:textId="1760F7DC"/>
    <w:tbl>
      <w:tblPr>
        <w:tblW w:w="10800" w:type="dxa"/>
        <w:shd w:val="clear" w:color="auto" w:fill="BC5D58"/>
        <w:tblLook w:val="04A0"/>
      </w:tblPr>
      <w:tblGrid>
        <w:gridCol w:w="10800"/>
      </w:tblGrid>
      <w:tr w14:paraId="6EAB3424" w14:textId="77777777" w:rsidTr="0064368E">
        <w:tblPrEx>
          <w:tblW w:w="10800" w:type="dxa"/>
          <w:shd w:val="clear" w:color="auto" w:fill="BC5D58"/>
          <w:tblLook w:val="04A0"/>
        </w:tblPrEx>
        <w:tc>
          <w:tcPr>
            <w:tcW w:w="10800" w:type="dxa"/>
            <w:shd w:val="clear" w:color="auto" w:fill="CE2C43"/>
          </w:tcPr>
          <w:p w:rsidR="00F42E21" w:rsidP="0064368E" w14:paraId="1E5CF18B" w14:textId="3B89C259">
            <w:pPr>
              <w:pStyle w:val="TableHeader"/>
            </w:pPr>
            <w:r>
              <w:t>Employee Notice of Exchange</w:t>
            </w:r>
          </w:p>
        </w:tc>
      </w:tr>
    </w:tbl>
    <w:p w:rsidR="00FD4D62" w:rsidP="00FD4D62" w14:paraId="38FC3055" w14:textId="77777777">
      <w:pPr>
        <w:pStyle w:val="BodyText"/>
      </w:pPr>
      <w:r w:rsidRPr="00283790">
        <w:t xml:space="preserve">Employers </w:t>
      </w:r>
      <w:r>
        <w:t>ar</w:t>
      </w:r>
      <w:r w:rsidRPr="00283790">
        <w:t>e required to provide all new hires with a written notice about the ACA’s health insurance Exchanges</w:t>
      </w:r>
      <w:r>
        <w:t xml:space="preserve">. This notice must be provided </w:t>
      </w:r>
      <w:r w:rsidRPr="00283790">
        <w:rPr>
          <w:b/>
        </w:rPr>
        <w:t>at the time of hiring</w:t>
      </w:r>
      <w:r>
        <w:t xml:space="preserve">. </w:t>
      </w:r>
      <w:r w:rsidRPr="00283790">
        <w:t>In general, the notice must:</w:t>
      </w:r>
    </w:p>
    <w:p w:rsidR="00FD4D62" w:rsidP="00F42E21" w14:paraId="3DD6EC0B" w14:textId="77777777">
      <w:pPr>
        <w:pStyle w:val="Bullet"/>
      </w:pPr>
      <w:r>
        <w:t>Inform employees about the existence of the Exchange and describe the services provided;</w:t>
      </w:r>
    </w:p>
    <w:p w:rsidR="00FD4D62" w:rsidP="00F42E21" w14:paraId="792A408D" w14:textId="1150EEB1">
      <w:pPr>
        <w:pStyle w:val="Bullet"/>
      </w:pPr>
      <w:r>
        <w:t xml:space="preserve">Explain how employees may be eligible for a premium tax credit or a cost-sharing reduction if the </w:t>
      </w:r>
      <w:r w:rsidR="00025C37">
        <w:t xml:space="preserve">employer’s </w:t>
      </w:r>
      <w:r>
        <w:t>plan does not meet certain requirements; and</w:t>
      </w:r>
    </w:p>
    <w:p w:rsidR="00FD4D62" w:rsidP="00F42E21" w14:paraId="64FB6A44" w14:textId="3D3CA6FA">
      <w:pPr>
        <w:pStyle w:val="Bullet"/>
      </w:pPr>
      <w:r>
        <w:t>Inform employees that if they purchase coverage through the Exchange, they may lose any employer contribution toward the cost of employer-provided coverage, and that all or a portion of the employer contribution to employer-provided coverage may be excludable for federal income tax purposes.</w:t>
      </w:r>
    </w:p>
    <w:p w:rsidR="00FD4D62" w:rsidP="00FD4D62" w14:paraId="1C289516" w14:textId="7C5C0FE5">
      <w:pPr>
        <w:pStyle w:val="BodyText"/>
      </w:pPr>
      <w:r w:rsidRPr="00283790">
        <w:t xml:space="preserve">The DOL provided </w:t>
      </w:r>
      <w:r w:rsidRPr="00283790">
        <w:rPr>
          <w:b/>
        </w:rPr>
        <w:t>model Exchange notices</w:t>
      </w:r>
      <w:r w:rsidRPr="00283790">
        <w:t xml:space="preserve"> for employers to use, which will require some customization. The notice may be provided by first-class mail, or may be provided electronically if the </w:t>
      </w:r>
      <w:r w:rsidR="001E472E">
        <w:t>DOL’s electronic disclosure safe harbor requirements</w:t>
      </w:r>
      <w:r w:rsidRPr="00283790">
        <w:t xml:space="preserve"> are met.</w:t>
      </w:r>
    </w:p>
    <w:p w:rsidR="00C84C66" w:rsidRPr="004967FA" w:rsidP="00FD4D62" w14:paraId="5BEC336C" w14:textId="77777777">
      <w:pPr>
        <w:pStyle w:val="BodyText"/>
      </w:pPr>
      <w:r>
        <w:rPr>
          <w:noProof/>
        </w:rPr>
        <mc:AlternateContent>
          <mc:Choice Requires="wps">
            <w:drawing>
              <wp:inline distT="0" distB="0" distL="0" distR="0">
                <wp:extent cx="6824621" cy="1176793"/>
                <wp:effectExtent l="19050" t="19050" r="14605" b="23495"/>
                <wp:docPr id="57" name="Text Box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24621" cy="1176793"/>
                        </a:xfrm>
                        <a:prstGeom prst="rect">
                          <a:avLst/>
                        </a:prstGeom>
                        <a:solidFill>
                          <a:srgbClr val="F2F2F2"/>
                        </a:solidFill>
                        <a:ln w="28575">
                          <a:solidFill>
                            <a:srgbClr val="CE2C43"/>
                          </a:solidFill>
                          <a:miter lim="800000"/>
                          <a:headEnd/>
                          <a:tailEnd/>
                        </a:ln>
                      </wps:spPr>
                      <wps:txbx>
                        <w:txbxContent>
                          <w:p w:rsidR="00763EB7" w:rsidRPr="00763EB7" w:rsidP="00763EB7" w14:textId="77777777">
                            <w:pPr>
                              <w:pStyle w:val="T-Subheading"/>
                              <w:rPr>
                                <w:color w:val="CE2C43"/>
                              </w:rPr>
                            </w:pPr>
                            <w:r w:rsidRPr="00F42E21">
                              <w:rPr>
                                <w:color w:val="CE2C43"/>
                              </w:rPr>
                              <w:t>Ensure that the Exchange notice is provided to all new hires at the time of hiring</w:t>
                            </w:r>
                            <w:r w:rsidRPr="00763EB7">
                              <w:rPr>
                                <w:color w:val="CE2C43"/>
                              </w:rPr>
                              <w:t>:</w:t>
                            </w:r>
                          </w:p>
                          <w:p w:rsidR="00F42E21" w:rsidP="00F42E21" w14:textId="77777777">
                            <w:pPr>
                              <w:pStyle w:val="T-BulletList"/>
                            </w:pPr>
                            <w:r>
                              <w:t>Customize the appropriate model Exchange notice.</w:t>
                            </w:r>
                          </w:p>
                          <w:p w:rsidR="00F42E21" w:rsidP="00F42E21" w14:textId="77777777">
                            <w:pPr>
                              <w:pStyle w:val="T-BulletList"/>
                            </w:pPr>
                            <w:r>
                              <w:t>Confirm that the notice has been provided to all current employees.</w:t>
                            </w:r>
                          </w:p>
                          <w:p w:rsidR="00763EB7" w:rsidP="00F42E21" w14:textId="77777777">
                            <w:pPr>
                              <w:pStyle w:val="T-BulletList"/>
                            </w:pPr>
                            <w:r>
                              <w:t>Prepare to provide the customized notice to all new employees when hired.</w:t>
                            </w:r>
                          </w:p>
                        </w:txbxContent>
                      </wps:txbx>
                      <wps:bodyPr rot="0" vert="horz" wrap="square" lIns="91440" tIns="45720" rIns="91440" bIns="45720" anchor="t" anchorCtr="0" upright="1"/>
                    </wps:wsp>
                  </a:graphicData>
                </a:graphic>
              </wp:inline>
            </w:drawing>
          </mc:Choice>
          <mc:Fallback>
            <w:pict>
              <v:shape id="Text Box 57" o:spid="_x0000_i1045" type="#_x0000_t202" style="width:537.37pt;height:92.66pt;mso-wrap-distance-bottom:0;mso-wrap-distance-left:0;mso-wrap-distance-right:0;mso-wrap-distance-top:0;v-text-anchor:top" fillcolor="#f2f2f2" stroked="t" strokecolor="#ce2c43" strokeweight="2.25pt">
                <v:textbox>
                  <w:txbxContent>
                    <w:p w:rsidR="00763EB7" w:rsidRPr="00763EB7" w:rsidP="00763EB7" w14:paraId="15A1078B" w14:textId="77777777">
                      <w:pPr>
                        <w:pStyle w:val="T-Subheading"/>
                        <w:rPr>
                          <w:color w:val="CE2C43"/>
                        </w:rPr>
                      </w:pPr>
                      <w:r w:rsidRPr="00F42E21">
                        <w:rPr>
                          <w:color w:val="CE2C43"/>
                        </w:rPr>
                        <w:t>Ensure that the Exchange notice is provided to all new hires at the time of hiring</w:t>
                      </w:r>
                      <w:r w:rsidRPr="00763EB7">
                        <w:rPr>
                          <w:color w:val="CE2C43"/>
                        </w:rPr>
                        <w:t>:</w:t>
                      </w:r>
                    </w:p>
                    <w:p w:rsidR="00F42E21" w:rsidP="00F42E21" w14:paraId="5DAB124C" w14:textId="77777777">
                      <w:pPr>
                        <w:pStyle w:val="T-BulletList"/>
                      </w:pPr>
                      <w:r>
                        <w:t>Customize the appropriate model Exchange notice.</w:t>
                      </w:r>
                    </w:p>
                    <w:p w:rsidR="00F42E21" w:rsidP="00F42E21" w14:paraId="06E9CD4C" w14:textId="77777777">
                      <w:pPr>
                        <w:pStyle w:val="T-BulletList"/>
                      </w:pPr>
                      <w:r>
                        <w:t>Confirm that the notice has been provided to all current employees.</w:t>
                      </w:r>
                    </w:p>
                    <w:p w:rsidR="00763EB7" w:rsidP="00F42E21" w14:paraId="52758E5C" w14:textId="77777777">
                      <w:pPr>
                        <w:pStyle w:val="T-BulletList"/>
                      </w:pPr>
                      <w:r>
                        <w:t>Prepare to provide the customized notice to all new employees when hired.</w:t>
                      </w:r>
                    </w:p>
                  </w:txbxContent>
                </v:textbox>
                <w10:anchorlock/>
              </v:shape>
            </w:pict>
          </mc:Fallback>
        </mc:AlternateContent>
      </w:r>
    </w:p>
    <w:sectPr w:rsidSect="00C84C66">
      <w:headerReference w:type="default" r:id="rId16"/>
      <w:footerReference w:type="default" r:id="rId17"/>
      <w:pgSz w:w="12240" w:h="15840"/>
      <w:pgMar w:top="1800" w:right="72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3D2AFC50" w14:textId="77777777">
    <w:pPr>
      <w:pStyle w:val="Footer"/>
    </w:pPr>
    <w:r>
      <w:rPr>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margin">
                <wp:posOffset>5975536</wp:posOffset>
              </wp:positionV>
              <wp:extent cx="6849035" cy="8965"/>
              <wp:effectExtent l="19050" t="19050" r="9525" b="2921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9035" cy="8965"/>
                      </a:xfrm>
                      <a:prstGeom prst="line">
                        <a:avLst/>
                      </a:prstGeom>
                      <a:ln w="44450">
                        <a:solidFill>
                          <a:srgbClr val="CE2C43">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2336" from="0,470.5pt" to="539.3pt,471.2pt" strokecolor="#ce2c43" strokeweight="3.5pt">
              <v:stroke joinstyle="miter" opacity="49087f"/>
              <w10:wrap anchorx="margin" anchory="margin"/>
            </v:line>
          </w:pict>
        </mc:Fallback>
      </mc:AlternateContent>
    </w: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gal_fol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999777"/>
      <w:docPartObj>
        <w:docPartGallery w:val="Page Numbers (Bottom of Page)"/>
        <w:docPartUnique/>
      </w:docPartObj>
    </w:sdtPr>
    <w:sdtEndPr>
      <w:rPr>
        <w:noProof/>
      </w:rPr>
    </w:sdtEndPr>
    <w:sdtContent>
      <w:p w:rsidR="00A95ADA" w14:paraId="52679FB2" w14:textId="4AFD704F">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7900394</wp:posOffset>
                  </wp:positionV>
                  <wp:extent cx="6848475" cy="8890"/>
                  <wp:effectExtent l="19050" t="19050" r="9525" b="2921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8475" cy="8890"/>
                          </a:xfrm>
                          <a:prstGeom prst="line">
                            <a:avLst/>
                          </a:prstGeom>
                          <a:ln w="44450">
                            <a:solidFill>
                              <a:srgbClr val="CE2C43">
                                <a:alpha val="75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51"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0288" from="0,622.1pt" to="539.25pt,622.8pt" strokecolor="#ce2c43" strokeweight="3.5pt">
                  <v:stroke joinstyle="miter" opacity="49087f"/>
                  <w10:wrap anchorx="margin" anchory="margin"/>
                </v:line>
              </w:pict>
            </mc:Fallback>
          </mc:AlternateContent>
        </w:r>
        <w:r>
          <w:fldChar w:fldCharType="begin"/>
        </w:r>
        <w:r>
          <w:instrText xml:space="preserve"> PAGE   \* MERGEFORMAT </w:instrText>
        </w:r>
        <w:r>
          <w:fldChar w:fldCharType="separate"/>
        </w:r>
        <w:r>
          <w:rPr>
            <w:noProof/>
          </w:rPr>
          <w:t>11</w:t>
        </w:r>
        <w:r>
          <w:rPr>
            <w:noProof/>
          </w:rPr>
          <w:fldChar w:fldCharType="end"/>
        </w:r>
      </w:p>
    </w:sdtContent>
  </w:sdt>
  <w:p w:rsidR="00E6115F" w14:paraId="6C665C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6B20A789" w14:textId="77777777">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ge">
            <wp:posOffset>-20955</wp:posOffset>
          </wp:positionV>
          <wp:extent cx="7772397" cy="3851929"/>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397" cy="38519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7CD" w14:paraId="6A85A0EC" w14:textId="2C3D694D">
    <w:pPr>
      <w:pStyle w:val="Header"/>
    </w:pPr>
    <w:r>
      <w:rPr>
        <w:noProof/>
      </w:rPr>
      <w:drawing>
        <wp:anchor distT="0" distB="0" distL="114300" distR="114300" simplePos="0" relativeHeight="251659264" behindDoc="1" locked="0" layoutInCell="1" allowOverlap="1">
          <wp:simplePos x="0" y="0"/>
          <wp:positionH relativeFrom="page">
            <wp:posOffset>14032</wp:posOffset>
          </wp:positionH>
          <wp:positionV relativeFrom="paragraph">
            <wp:posOffset>-457200</wp:posOffset>
          </wp:positionV>
          <wp:extent cx="7753504" cy="163639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53504" cy="1636395"/>
                  </a:xfrm>
                  <a:prstGeom prst="rect">
                    <a:avLst/>
                  </a:prstGeom>
                </pic:spPr>
              </pic:pic>
            </a:graphicData>
          </a:graphic>
          <wp14:sizeRelH relativeFrom="page">
            <wp14:pctWidth>0</wp14:pctWidth>
          </wp14:sizeRelH>
          <wp14:sizeRelV relativeFrom="page">
            <wp14:pctHeight>0</wp14:pctHeight>
          </wp14:sizeRelV>
        </wp:anchor>
      </w:drawing>
    </w:r>
    <w:r w:rsidR="00A95ADA">
      <w:rPr>
        <w:noProof/>
      </w:rPr>
      <mc:AlternateContent>
        <mc:Choice Requires="wps">
          <w:drawing>
            <wp:anchor distT="0" distB="0" distL="114300" distR="114300" simplePos="0" relativeHeight="251660288" behindDoc="0" locked="0" layoutInCell="1" allowOverlap="1">
              <wp:simplePos x="0" y="0"/>
              <wp:positionH relativeFrom="margin">
                <wp:posOffset>-55418</wp:posOffset>
              </wp:positionH>
              <wp:positionV relativeFrom="paragraph">
                <wp:posOffset>8679873</wp:posOffset>
              </wp:positionV>
              <wp:extent cx="5984875" cy="55626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4875" cy="556260"/>
                      </a:xfrm>
                      <a:prstGeom prst="rect">
                        <a:avLst/>
                      </a:prstGeom>
                      <a:noFill/>
                      <a:ln w="6350">
                        <a:noFill/>
                      </a:ln>
                      <a:effectLst/>
                    </wps:spPr>
                    <wps:txbx>
                      <w:txbxContent>
                        <w:p w:rsidR="00EC1229" w:rsidRPr="00817EEE" w:rsidP="00EC1229" w14:textId="3159BB8F">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©20</w:t>
                          </w:r>
                          <w:r w:rsidR="0049458F">
                            <w:t>2</w:t>
                          </w:r>
                          <w:r w:rsidR="00D01795">
                            <w:t>1</w:t>
                          </w:r>
                          <w:r>
                            <w:t xml:space="preserve"> </w:t>
                          </w:r>
                          <w:r w:rsidRPr="00817EEE">
                            <w:t>Zywave, Inc.</w:t>
                          </w:r>
                          <w:r>
                            <w:t xml:space="preserve"> </w:t>
                          </w:r>
                          <w:r w:rsidRPr="00817EEE">
                            <w:t>All rights reserved.</w:t>
                          </w:r>
                        </w:p>
                        <w:p w:rsidR="00EC1229" w:rsidRPr="00947E11" w:rsidP="00EC1229" w14:textId="77777777">
                          <w:pPr>
                            <w:pStyle w:val="Disclaimer"/>
                            <w:rPr>
                              <w:szCs w:val="16"/>
                            </w:rPr>
                          </w:pPr>
                        </w:p>
                        <w:p w:rsidR="00E6115F" w:rsidRPr="00947E11" w:rsidP="008F7B15" w14:textId="77777777">
                          <w:pPr>
                            <w:pStyle w:val="Disclaim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0" type="#_x0000_t202" style="width:471.25pt;height:43.8pt;margin-top:683.45pt;margin-left:-4.35pt;mso-height-percent:0;mso-height-relative:margin;mso-position-horizontal-relative:margin;mso-width-percent:0;mso-width-relative:margin;mso-wrap-distance-bottom:0;mso-wrap-distance-left:9pt;mso-wrap-distance-right:9pt;mso-wrap-distance-top:0;mso-wrap-style:square;position:absolute;v-text-anchor:top;visibility:visible;z-index:251661312" filled="f" stroked="f" strokeweight="0.5pt">
              <v:textbox>
                <w:txbxContent>
                  <w:p w:rsidR="00EC1229" w:rsidRPr="00817EEE" w:rsidP="00EC1229" w14:paraId="4951075E" w14:textId="3159BB8F">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©20</w:t>
                    </w:r>
                    <w:r w:rsidR="0049458F">
                      <w:t>2</w:t>
                    </w:r>
                    <w:r w:rsidR="00D01795">
                      <w:t>1</w:t>
                    </w:r>
                    <w:r>
                      <w:t xml:space="preserve"> </w:t>
                    </w:r>
                    <w:r w:rsidRPr="00817EEE">
                      <w:t>Zywave, Inc.</w:t>
                    </w:r>
                    <w:r>
                      <w:t xml:space="preserve"> </w:t>
                    </w:r>
                    <w:r w:rsidRPr="00817EEE">
                      <w:t>All rights reserved.</w:t>
                    </w:r>
                  </w:p>
                  <w:p w:rsidR="00EC1229" w:rsidRPr="00947E11" w:rsidP="00EC1229" w14:paraId="4494882D" w14:textId="77777777">
                    <w:pPr>
                      <w:pStyle w:val="Disclaimer"/>
                      <w:rPr>
                        <w:szCs w:val="16"/>
                      </w:rPr>
                    </w:pPr>
                  </w:p>
                  <w:p w:rsidR="00E6115F" w:rsidRPr="00947E11" w:rsidP="008F7B15" w14:paraId="1138F6D3" w14:textId="77777777">
                    <w:pPr>
                      <w:pStyle w:val="Disclaimer"/>
                      <w:rPr>
                        <w:szCs w:val="16"/>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6203F0"/>
    <w:multiLevelType w:val="hybridMultilevel"/>
    <w:tmpl w:val="8C3C7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D01EFE"/>
    <w:multiLevelType w:val="multilevel"/>
    <w:tmpl w:val="B13CDD56"/>
    <w:numStyleLink w:val="BulletedList"/>
  </w:abstractNum>
  <w:abstractNum w:abstractNumId="2">
    <w:nsid w:val="11E95063"/>
    <w:multiLevelType w:val="hybridMultilevel"/>
    <w:tmpl w:val="CFA22E9A"/>
    <w:lvl w:ilvl="0">
      <w:start w:val="1"/>
      <w:numFmt w:val="bullet"/>
      <w:lvlText w:val=""/>
      <w:lvlJc w:val="left"/>
      <w:pPr>
        <w:ind w:left="547" w:hanging="360"/>
      </w:pPr>
      <w:rPr>
        <w:rFonts w:ascii="Symbol" w:hAnsi="Symbol" w:hint="default"/>
        <w:color w:val="CE2C43"/>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9F6488"/>
    <w:multiLevelType w:val="hybridMultilevel"/>
    <w:tmpl w:val="EC5E5F44"/>
    <w:lvl w:ilvl="0">
      <w:start w:val="1"/>
      <w:numFmt w:val="bullet"/>
      <w:pStyle w:val="T-BulletList"/>
      <w:lvlText w:val="□"/>
      <w:lvlJc w:val="left"/>
      <w:pPr>
        <w:ind w:left="216" w:hanging="216"/>
      </w:pPr>
      <w:rPr>
        <w:rFonts w:ascii="Verdana" w:hAnsi="Verdana" w:hint="default"/>
        <w:sz w:val="32"/>
        <w:szCs w:val="20"/>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1008" w:hanging="288"/>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270686"/>
    <w:multiLevelType w:val="hybridMultilevel"/>
    <w:tmpl w:val="C96E1582"/>
    <w:lvl w:ilvl="0">
      <w:start w:val="1"/>
      <w:numFmt w:val="bullet"/>
      <w:pStyle w:val="Checkbox"/>
      <w:lvlText w:val=""/>
      <w:lvlJc w:val="left"/>
      <w:pPr>
        <w:ind w:left="2966" w:hanging="360"/>
      </w:pPr>
      <w:rPr>
        <w:rFonts w:ascii="Wingdings" w:hAnsi="Wingdings" w:hint="default"/>
        <w:color w:val="5083C9"/>
        <w:sz w:val="28"/>
      </w:rPr>
    </w:lvl>
    <w:lvl w:ilvl="1">
      <w:start w:val="1"/>
      <w:numFmt w:val="bullet"/>
      <w:lvlText w:val="o"/>
      <w:lvlJc w:val="left"/>
      <w:pPr>
        <w:ind w:left="6974" w:hanging="360"/>
      </w:pPr>
      <w:rPr>
        <w:rFonts w:ascii="Courier New" w:hAnsi="Courier New" w:cs="Courier New" w:hint="default"/>
      </w:rPr>
    </w:lvl>
    <w:lvl w:ilvl="2" w:tentative="1">
      <w:start w:val="1"/>
      <w:numFmt w:val="bullet"/>
      <w:lvlText w:val=""/>
      <w:lvlJc w:val="left"/>
      <w:pPr>
        <w:ind w:left="7694" w:hanging="360"/>
      </w:pPr>
      <w:rPr>
        <w:rFonts w:ascii="Wingdings" w:hAnsi="Wingdings" w:hint="default"/>
      </w:rPr>
    </w:lvl>
    <w:lvl w:ilvl="3" w:tentative="1">
      <w:start w:val="1"/>
      <w:numFmt w:val="bullet"/>
      <w:lvlText w:val=""/>
      <w:lvlJc w:val="left"/>
      <w:pPr>
        <w:ind w:left="8414" w:hanging="360"/>
      </w:pPr>
      <w:rPr>
        <w:rFonts w:ascii="Symbol" w:hAnsi="Symbol" w:hint="default"/>
      </w:rPr>
    </w:lvl>
    <w:lvl w:ilvl="4" w:tentative="1">
      <w:start w:val="1"/>
      <w:numFmt w:val="bullet"/>
      <w:lvlText w:val="o"/>
      <w:lvlJc w:val="left"/>
      <w:pPr>
        <w:ind w:left="9134" w:hanging="360"/>
      </w:pPr>
      <w:rPr>
        <w:rFonts w:ascii="Courier New" w:hAnsi="Courier New" w:cs="Courier New" w:hint="default"/>
      </w:rPr>
    </w:lvl>
    <w:lvl w:ilvl="5" w:tentative="1">
      <w:start w:val="1"/>
      <w:numFmt w:val="bullet"/>
      <w:lvlText w:val=""/>
      <w:lvlJc w:val="left"/>
      <w:pPr>
        <w:ind w:left="9854" w:hanging="360"/>
      </w:pPr>
      <w:rPr>
        <w:rFonts w:ascii="Wingdings" w:hAnsi="Wingdings" w:hint="default"/>
      </w:rPr>
    </w:lvl>
    <w:lvl w:ilvl="6" w:tentative="1">
      <w:start w:val="1"/>
      <w:numFmt w:val="bullet"/>
      <w:lvlText w:val=""/>
      <w:lvlJc w:val="left"/>
      <w:pPr>
        <w:ind w:left="10574" w:hanging="360"/>
      </w:pPr>
      <w:rPr>
        <w:rFonts w:ascii="Symbol" w:hAnsi="Symbol" w:hint="default"/>
      </w:rPr>
    </w:lvl>
    <w:lvl w:ilvl="7" w:tentative="1">
      <w:start w:val="1"/>
      <w:numFmt w:val="bullet"/>
      <w:lvlText w:val="o"/>
      <w:lvlJc w:val="left"/>
      <w:pPr>
        <w:ind w:left="11294" w:hanging="360"/>
      </w:pPr>
      <w:rPr>
        <w:rFonts w:ascii="Courier New" w:hAnsi="Courier New" w:cs="Courier New" w:hint="default"/>
      </w:rPr>
    </w:lvl>
    <w:lvl w:ilvl="8" w:tentative="1">
      <w:start w:val="1"/>
      <w:numFmt w:val="bullet"/>
      <w:lvlText w:val=""/>
      <w:lvlJc w:val="left"/>
      <w:pPr>
        <w:ind w:left="12014" w:hanging="360"/>
      </w:pPr>
      <w:rPr>
        <w:rFonts w:ascii="Wingdings" w:hAnsi="Wingdings" w:hint="default"/>
      </w:rPr>
    </w:lvl>
  </w:abstractNum>
  <w:abstractNum w:abstractNumId="5">
    <w:nsid w:val="1CA17BC9"/>
    <w:multiLevelType w:val="hybridMultilevel"/>
    <w:tmpl w:val="383A6D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C62024"/>
    <w:multiLevelType w:val="multilevel"/>
    <w:tmpl w:val="B13CDD56"/>
    <w:numStyleLink w:val="BulletedList"/>
  </w:abstractNum>
  <w:abstractNum w:abstractNumId="7">
    <w:nsid w:val="24231C50"/>
    <w:multiLevelType w:val="multilevel"/>
    <w:tmpl w:val="B13CDD56"/>
    <w:numStyleLink w:val="BulletedList"/>
  </w:abstractNum>
  <w:abstractNum w:abstractNumId="8">
    <w:nsid w:val="250C7086"/>
    <w:multiLevelType w:val="hybridMultilevel"/>
    <w:tmpl w:val="1FDC8D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0A2C70"/>
    <w:multiLevelType w:val="hybridMultilevel"/>
    <w:tmpl w:val="CB1A4564"/>
    <w:lvl w:ilvl="0">
      <w:start w:val="1"/>
      <w:numFmt w:val="bullet"/>
      <w:lvlText w:val=""/>
      <w:lvlJc w:val="left"/>
      <w:pPr>
        <w:ind w:left="576" w:hanging="216"/>
      </w:pPr>
      <w:rPr>
        <w:rFonts w:ascii="Symbol" w:hAnsi="Symbol" w:hint="default"/>
      </w:rPr>
    </w:lvl>
    <w:lvl w:ilvl="1">
      <w:start w:val="1"/>
      <w:numFmt w:val="bullet"/>
      <w:lvlText w:val="o"/>
      <w:lvlJc w:val="left"/>
      <w:pPr>
        <w:ind w:left="936" w:hanging="216"/>
      </w:pPr>
      <w:rPr>
        <w:rFonts w:ascii="Courier New" w:hAnsi="Courier New" w:hint="default"/>
      </w:rPr>
    </w:lvl>
    <w:lvl w:ilvl="2">
      <w:start w:val="1"/>
      <w:numFmt w:val="bullet"/>
      <w:lvlText w:val=""/>
      <w:lvlJc w:val="left"/>
      <w:pPr>
        <w:ind w:left="1296"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3E32AF5"/>
    <w:multiLevelType w:val="multilevel"/>
    <w:tmpl w:val="B13CDD56"/>
    <w:styleLink w:val="BulletedList"/>
    <w:lvl w:ilvl="0">
      <w:start w:val="1"/>
      <w:numFmt w:val="bullet"/>
      <w:lvlText w:val=""/>
      <w:lvlJc w:val="left"/>
      <w:pPr>
        <w:ind w:left="360" w:hanging="360"/>
      </w:pPr>
      <w:rPr>
        <w:rFonts w:ascii="Symbol" w:hAnsi="Symbol" w:hint="default"/>
        <w:color w:val="CE2C4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89703BF"/>
    <w:multiLevelType w:val="multilevel"/>
    <w:tmpl w:val="B9EC39CC"/>
    <w:lvl w:ilvl="0">
      <w:start w:val="1"/>
      <w:numFmt w:val="bullet"/>
      <w:lvlText w:val=""/>
      <w:lvlJc w:val="left"/>
      <w:pPr>
        <w:ind w:left="540" w:hanging="360"/>
      </w:pPr>
      <w:rPr>
        <w:rFonts w:ascii="Symbol" w:hAnsi="Symbol" w:hint="default"/>
        <w:color w:val="5083C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C8601A1"/>
    <w:multiLevelType w:val="hybridMultilevel"/>
    <w:tmpl w:val="43CE9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624744"/>
    <w:multiLevelType w:val="hybridMultilevel"/>
    <w:tmpl w:val="102CC858"/>
    <w:lvl w:ilvl="0">
      <w:start w:val="1"/>
      <w:numFmt w:val="bullet"/>
      <w:pStyle w:val="Xbox"/>
      <w:lvlText w:val=""/>
      <w:lvlJc w:val="left"/>
      <w:pPr>
        <w:ind w:left="360" w:hanging="360"/>
      </w:pPr>
      <w:rPr>
        <w:rFonts w:ascii="Wingdings" w:hAnsi="Wingdings" w:hint="default"/>
        <w:color w:val="BD6363"/>
        <w:sz w:val="28"/>
      </w:rPr>
    </w:lvl>
    <w:lvl w:ilvl="1">
      <w:start w:val="1"/>
      <w:numFmt w:val="bullet"/>
      <w:lvlText w:val="o"/>
      <w:lvlJc w:val="left"/>
      <w:pPr>
        <w:ind w:left="5760" w:hanging="360"/>
      </w:pPr>
      <w:rPr>
        <w:rFonts w:ascii="Courier New" w:hAnsi="Courier New" w:cs="Courier New" w:hint="default"/>
      </w:rPr>
    </w:lvl>
    <w:lvl w:ilvl="2" w:tentative="1">
      <w:start w:val="1"/>
      <w:numFmt w:val="bullet"/>
      <w:lvlText w:val=""/>
      <w:lvlJc w:val="left"/>
      <w:pPr>
        <w:ind w:left="6480" w:hanging="360"/>
      </w:pPr>
      <w:rPr>
        <w:rFonts w:ascii="Wingdings" w:hAnsi="Wingdings" w:hint="default"/>
      </w:rPr>
    </w:lvl>
    <w:lvl w:ilvl="3" w:tentative="1">
      <w:start w:val="1"/>
      <w:numFmt w:val="bullet"/>
      <w:lvlText w:val=""/>
      <w:lvlJc w:val="left"/>
      <w:pPr>
        <w:ind w:left="7200" w:hanging="360"/>
      </w:pPr>
      <w:rPr>
        <w:rFonts w:ascii="Symbol" w:hAnsi="Symbol" w:hint="default"/>
      </w:rPr>
    </w:lvl>
    <w:lvl w:ilvl="4" w:tentative="1">
      <w:start w:val="1"/>
      <w:numFmt w:val="bullet"/>
      <w:lvlText w:val="o"/>
      <w:lvlJc w:val="left"/>
      <w:pPr>
        <w:ind w:left="7920" w:hanging="360"/>
      </w:pPr>
      <w:rPr>
        <w:rFonts w:ascii="Courier New" w:hAnsi="Courier New" w:cs="Courier New" w:hint="default"/>
      </w:rPr>
    </w:lvl>
    <w:lvl w:ilvl="5" w:tentative="1">
      <w:start w:val="1"/>
      <w:numFmt w:val="bullet"/>
      <w:lvlText w:val=""/>
      <w:lvlJc w:val="left"/>
      <w:pPr>
        <w:ind w:left="8640" w:hanging="360"/>
      </w:pPr>
      <w:rPr>
        <w:rFonts w:ascii="Wingdings" w:hAnsi="Wingdings" w:hint="default"/>
      </w:rPr>
    </w:lvl>
    <w:lvl w:ilvl="6" w:tentative="1">
      <w:start w:val="1"/>
      <w:numFmt w:val="bullet"/>
      <w:lvlText w:val=""/>
      <w:lvlJc w:val="left"/>
      <w:pPr>
        <w:ind w:left="9360" w:hanging="360"/>
      </w:pPr>
      <w:rPr>
        <w:rFonts w:ascii="Symbol" w:hAnsi="Symbol" w:hint="default"/>
      </w:rPr>
    </w:lvl>
    <w:lvl w:ilvl="7" w:tentative="1">
      <w:start w:val="1"/>
      <w:numFmt w:val="bullet"/>
      <w:lvlText w:val="o"/>
      <w:lvlJc w:val="left"/>
      <w:pPr>
        <w:ind w:left="10080" w:hanging="360"/>
      </w:pPr>
      <w:rPr>
        <w:rFonts w:ascii="Courier New" w:hAnsi="Courier New" w:cs="Courier New" w:hint="default"/>
      </w:rPr>
    </w:lvl>
    <w:lvl w:ilvl="8" w:tentative="1">
      <w:start w:val="1"/>
      <w:numFmt w:val="bullet"/>
      <w:lvlText w:val=""/>
      <w:lvlJc w:val="left"/>
      <w:pPr>
        <w:ind w:left="10800" w:hanging="360"/>
      </w:pPr>
      <w:rPr>
        <w:rFonts w:ascii="Wingdings" w:hAnsi="Wingdings" w:hint="default"/>
      </w:rPr>
    </w:lvl>
  </w:abstractNum>
  <w:abstractNum w:abstractNumId="14">
    <w:nsid w:val="4E9B5816"/>
    <w:multiLevelType w:val="multilevel"/>
    <w:tmpl w:val="B13CDD56"/>
    <w:numStyleLink w:val="BulletedList"/>
  </w:abstractNum>
  <w:abstractNum w:abstractNumId="15">
    <w:nsid w:val="4F552E53"/>
    <w:multiLevelType w:val="multilevel"/>
    <w:tmpl w:val="B13CDD56"/>
    <w:numStyleLink w:val="BulletedList"/>
  </w:abstractNum>
  <w:abstractNum w:abstractNumId="16">
    <w:nsid w:val="62F21BF3"/>
    <w:multiLevelType w:val="hybridMultilevel"/>
    <w:tmpl w:val="3D401604"/>
    <w:lvl w:ilvl="0">
      <w:start w:val="1"/>
      <w:numFmt w:val="bullet"/>
      <w:pStyle w:val="Bullet"/>
      <w:lvlText w:val=""/>
      <w:lvlJc w:val="left"/>
      <w:pPr>
        <w:ind w:left="720" w:hanging="360"/>
      </w:pPr>
      <w:rPr>
        <w:rFonts w:ascii="Symbol" w:hAnsi="Symbol" w:hint="default"/>
        <w:color w:val="CE2C4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80692C"/>
    <w:multiLevelType w:val="multilevel"/>
    <w:tmpl w:val="B13CDD56"/>
    <w:numStyleLink w:val="BulletedList"/>
  </w:abstractNum>
  <w:abstractNum w:abstractNumId="18">
    <w:nsid w:val="6F346A19"/>
    <w:multiLevelType w:val="hybridMultilevel"/>
    <w:tmpl w:val="CD666170"/>
    <w:lvl w:ilvl="0">
      <w:start w:val="1"/>
      <w:numFmt w:val="bullet"/>
      <w:pStyle w:val="H-BulletList"/>
      <w:lvlText w:val=""/>
      <w:lvlJc w:val="left"/>
      <w:pPr>
        <w:ind w:left="288" w:hanging="216"/>
      </w:pPr>
      <w:rPr>
        <w:rFonts w:ascii="Symbol" w:hAnsi="Symbol" w:hint="default"/>
        <w:sz w:val="20"/>
        <w:szCs w:val="20"/>
      </w:rPr>
    </w:lvl>
    <w:lvl w:ilvl="1">
      <w:start w:val="1"/>
      <w:numFmt w:val="bullet"/>
      <w:lvlText w:val="o"/>
      <w:lvlJc w:val="left"/>
      <w:pPr>
        <w:ind w:left="504" w:hanging="144"/>
      </w:pPr>
      <w:rPr>
        <w:rFonts w:ascii="Courier New" w:hAnsi="Courier New" w:hint="default"/>
      </w:rPr>
    </w:lvl>
    <w:lvl w:ilvl="2">
      <w:start w:val="1"/>
      <w:numFmt w:val="bullet"/>
      <w:lvlText w:val=""/>
      <w:lvlJc w:val="left"/>
      <w:pPr>
        <w:ind w:left="1008" w:hanging="288"/>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30B4ECD"/>
    <w:multiLevelType w:val="hybridMultilevel"/>
    <w:tmpl w:val="6C406044"/>
    <w:lvl w:ilvl="0">
      <w:start w:val="1"/>
      <w:numFmt w:val="bullet"/>
      <w:pStyle w:val="BulletlistHighlight"/>
      <w:lvlText w:val=""/>
      <w:lvlJc w:val="left"/>
      <w:pPr>
        <w:ind w:left="288" w:hanging="288"/>
      </w:pPr>
      <w:rPr>
        <w:rFonts w:ascii="Symbol" w:hAnsi="Symbol" w:hint="default"/>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86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4"/>
  </w:num>
  <w:num w:numId="4">
    <w:abstractNumId w:val="13"/>
  </w:num>
  <w:num w:numId="5">
    <w:abstractNumId w:val="19"/>
  </w:num>
  <w:num w:numId="6">
    <w:abstractNumId w:val="11"/>
  </w:num>
  <w:num w:numId="7">
    <w:abstractNumId w:val="10"/>
  </w:num>
  <w:num w:numId="8">
    <w:abstractNumId w:val="14"/>
  </w:num>
  <w:num w:numId="9">
    <w:abstractNumId w:val="7"/>
  </w:num>
  <w:num w:numId="10">
    <w:abstractNumId w:val="17"/>
  </w:num>
  <w:num w:numId="11">
    <w:abstractNumId w:val="1"/>
  </w:num>
  <w:num w:numId="12">
    <w:abstractNumId w:val="6"/>
  </w:num>
  <w:num w:numId="13">
    <w:abstractNumId w:val="15"/>
  </w:num>
  <w:num w:numId="14">
    <w:abstractNumId w:val="16"/>
  </w:num>
  <w:num w:numId="15">
    <w:abstractNumId w:val="9"/>
  </w:num>
  <w:num w:numId="16">
    <w:abstractNumId w:val="18"/>
  </w:num>
  <w:num w:numId="17">
    <w:abstractNumId w:val="18"/>
    <w:lvlOverride w:ilvl="0">
      <w:startOverride w:val="1"/>
    </w:lvlOverride>
  </w:num>
  <w:num w:numId="18">
    <w:abstractNumId w:val="3"/>
  </w:num>
  <w:num w:numId="19">
    <w:abstractNumId w:val="5"/>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62"/>
    <w:rsid w:val="00025C37"/>
    <w:rsid w:val="00036D4E"/>
    <w:rsid w:val="00072D41"/>
    <w:rsid w:val="00073797"/>
    <w:rsid w:val="00075345"/>
    <w:rsid w:val="000847AD"/>
    <w:rsid w:val="000855D1"/>
    <w:rsid w:val="00090473"/>
    <w:rsid w:val="000B5B20"/>
    <w:rsid w:val="000B71D2"/>
    <w:rsid w:val="000C5485"/>
    <w:rsid w:val="000D0CF2"/>
    <w:rsid w:val="000D5298"/>
    <w:rsid w:val="000E160B"/>
    <w:rsid w:val="000E7FD8"/>
    <w:rsid w:val="000F7A78"/>
    <w:rsid w:val="0012162D"/>
    <w:rsid w:val="001327E9"/>
    <w:rsid w:val="001429DB"/>
    <w:rsid w:val="00165E9B"/>
    <w:rsid w:val="0016683E"/>
    <w:rsid w:val="00171002"/>
    <w:rsid w:val="00171781"/>
    <w:rsid w:val="001725D9"/>
    <w:rsid w:val="00176E5A"/>
    <w:rsid w:val="0019038E"/>
    <w:rsid w:val="001B1A7E"/>
    <w:rsid w:val="001B5774"/>
    <w:rsid w:val="001D411C"/>
    <w:rsid w:val="001D503C"/>
    <w:rsid w:val="001E472E"/>
    <w:rsid w:val="001F144E"/>
    <w:rsid w:val="001F226B"/>
    <w:rsid w:val="001F5C6F"/>
    <w:rsid w:val="00216A57"/>
    <w:rsid w:val="00231BB2"/>
    <w:rsid w:val="00233BA9"/>
    <w:rsid w:val="00235733"/>
    <w:rsid w:val="0024208C"/>
    <w:rsid w:val="0026000D"/>
    <w:rsid w:val="00282C22"/>
    <w:rsid w:val="00283790"/>
    <w:rsid w:val="00284BF7"/>
    <w:rsid w:val="002A16C1"/>
    <w:rsid w:val="002B2244"/>
    <w:rsid w:val="002C1587"/>
    <w:rsid w:val="002F02F6"/>
    <w:rsid w:val="003243B0"/>
    <w:rsid w:val="003267EB"/>
    <w:rsid w:val="003349D5"/>
    <w:rsid w:val="0035530B"/>
    <w:rsid w:val="00362823"/>
    <w:rsid w:val="0037553A"/>
    <w:rsid w:val="00377AA8"/>
    <w:rsid w:val="003A6B72"/>
    <w:rsid w:val="003C10A8"/>
    <w:rsid w:val="00402B29"/>
    <w:rsid w:val="004300AF"/>
    <w:rsid w:val="004370D2"/>
    <w:rsid w:val="00441851"/>
    <w:rsid w:val="00441DF1"/>
    <w:rsid w:val="004459AD"/>
    <w:rsid w:val="00482A0A"/>
    <w:rsid w:val="00484002"/>
    <w:rsid w:val="00485C3A"/>
    <w:rsid w:val="0049458F"/>
    <w:rsid w:val="004967FA"/>
    <w:rsid w:val="004A65E6"/>
    <w:rsid w:val="004B125C"/>
    <w:rsid w:val="004D04D0"/>
    <w:rsid w:val="004F3C17"/>
    <w:rsid w:val="00500B71"/>
    <w:rsid w:val="005018E9"/>
    <w:rsid w:val="00526C74"/>
    <w:rsid w:val="00526E94"/>
    <w:rsid w:val="00534014"/>
    <w:rsid w:val="005548B7"/>
    <w:rsid w:val="00566B29"/>
    <w:rsid w:val="005835BA"/>
    <w:rsid w:val="00584B55"/>
    <w:rsid w:val="00592F31"/>
    <w:rsid w:val="005A5BCC"/>
    <w:rsid w:val="005D05D9"/>
    <w:rsid w:val="005D41E6"/>
    <w:rsid w:val="005D6D21"/>
    <w:rsid w:val="005E109F"/>
    <w:rsid w:val="005E4776"/>
    <w:rsid w:val="005E5147"/>
    <w:rsid w:val="005F47AC"/>
    <w:rsid w:val="00603905"/>
    <w:rsid w:val="00607959"/>
    <w:rsid w:val="0064368E"/>
    <w:rsid w:val="006543B4"/>
    <w:rsid w:val="00677DD4"/>
    <w:rsid w:val="006C0A04"/>
    <w:rsid w:val="006C43B1"/>
    <w:rsid w:val="006C4B01"/>
    <w:rsid w:val="006C699B"/>
    <w:rsid w:val="006C7BBC"/>
    <w:rsid w:val="006D0148"/>
    <w:rsid w:val="006E3B62"/>
    <w:rsid w:val="006F00FE"/>
    <w:rsid w:val="006F0DB8"/>
    <w:rsid w:val="007068E3"/>
    <w:rsid w:val="00707343"/>
    <w:rsid w:val="007201D3"/>
    <w:rsid w:val="007256DB"/>
    <w:rsid w:val="00726939"/>
    <w:rsid w:val="00736C77"/>
    <w:rsid w:val="0073743A"/>
    <w:rsid w:val="00753205"/>
    <w:rsid w:val="00763EB7"/>
    <w:rsid w:val="007717ED"/>
    <w:rsid w:val="00795E67"/>
    <w:rsid w:val="007A03F8"/>
    <w:rsid w:val="007A1E50"/>
    <w:rsid w:val="007B6F26"/>
    <w:rsid w:val="007B7912"/>
    <w:rsid w:val="007F1227"/>
    <w:rsid w:val="00802FF0"/>
    <w:rsid w:val="00810D1C"/>
    <w:rsid w:val="00817EEE"/>
    <w:rsid w:val="008254B5"/>
    <w:rsid w:val="00826394"/>
    <w:rsid w:val="00844896"/>
    <w:rsid w:val="0084543D"/>
    <w:rsid w:val="00854C8B"/>
    <w:rsid w:val="00867B47"/>
    <w:rsid w:val="008760EF"/>
    <w:rsid w:val="008A34C6"/>
    <w:rsid w:val="008A7E71"/>
    <w:rsid w:val="008B1CFF"/>
    <w:rsid w:val="008C01A9"/>
    <w:rsid w:val="008C3FE0"/>
    <w:rsid w:val="008C4D53"/>
    <w:rsid w:val="008C539C"/>
    <w:rsid w:val="008C64EB"/>
    <w:rsid w:val="008D26B7"/>
    <w:rsid w:val="008D4243"/>
    <w:rsid w:val="008F1682"/>
    <w:rsid w:val="008F6F04"/>
    <w:rsid w:val="008F7B15"/>
    <w:rsid w:val="00925131"/>
    <w:rsid w:val="009260FD"/>
    <w:rsid w:val="00926535"/>
    <w:rsid w:val="009425D5"/>
    <w:rsid w:val="00947E11"/>
    <w:rsid w:val="0098636D"/>
    <w:rsid w:val="00990E27"/>
    <w:rsid w:val="009926FB"/>
    <w:rsid w:val="00993033"/>
    <w:rsid w:val="009A1341"/>
    <w:rsid w:val="009A663E"/>
    <w:rsid w:val="009B7A9A"/>
    <w:rsid w:val="009D4BB6"/>
    <w:rsid w:val="009D7657"/>
    <w:rsid w:val="009E4DC9"/>
    <w:rsid w:val="009F3CA3"/>
    <w:rsid w:val="009F63E8"/>
    <w:rsid w:val="00A113AE"/>
    <w:rsid w:val="00A27025"/>
    <w:rsid w:val="00A337BD"/>
    <w:rsid w:val="00A357CD"/>
    <w:rsid w:val="00A47C53"/>
    <w:rsid w:val="00A55703"/>
    <w:rsid w:val="00A64411"/>
    <w:rsid w:val="00A64420"/>
    <w:rsid w:val="00A83C9F"/>
    <w:rsid w:val="00A903DD"/>
    <w:rsid w:val="00A92A89"/>
    <w:rsid w:val="00A95ADA"/>
    <w:rsid w:val="00AB12C2"/>
    <w:rsid w:val="00AD0649"/>
    <w:rsid w:val="00AD0987"/>
    <w:rsid w:val="00AE17B7"/>
    <w:rsid w:val="00B27C10"/>
    <w:rsid w:val="00B34546"/>
    <w:rsid w:val="00B37628"/>
    <w:rsid w:val="00B43E57"/>
    <w:rsid w:val="00B6222D"/>
    <w:rsid w:val="00B63384"/>
    <w:rsid w:val="00B64AE4"/>
    <w:rsid w:val="00B87585"/>
    <w:rsid w:val="00BB01FE"/>
    <w:rsid w:val="00BB502C"/>
    <w:rsid w:val="00C15A98"/>
    <w:rsid w:val="00C205D4"/>
    <w:rsid w:val="00C61642"/>
    <w:rsid w:val="00C71070"/>
    <w:rsid w:val="00C73867"/>
    <w:rsid w:val="00C73DB9"/>
    <w:rsid w:val="00C84C66"/>
    <w:rsid w:val="00C9359B"/>
    <w:rsid w:val="00CB6777"/>
    <w:rsid w:val="00CB7D73"/>
    <w:rsid w:val="00CD61BF"/>
    <w:rsid w:val="00CF5E21"/>
    <w:rsid w:val="00D01795"/>
    <w:rsid w:val="00D379D5"/>
    <w:rsid w:val="00D54FCD"/>
    <w:rsid w:val="00D62AB2"/>
    <w:rsid w:val="00D64548"/>
    <w:rsid w:val="00D76FCB"/>
    <w:rsid w:val="00D77EDD"/>
    <w:rsid w:val="00D8467E"/>
    <w:rsid w:val="00D97B64"/>
    <w:rsid w:val="00DC3880"/>
    <w:rsid w:val="00DD03D3"/>
    <w:rsid w:val="00DF43A9"/>
    <w:rsid w:val="00E16E6C"/>
    <w:rsid w:val="00E16FF3"/>
    <w:rsid w:val="00E216FF"/>
    <w:rsid w:val="00E23B1D"/>
    <w:rsid w:val="00E6115F"/>
    <w:rsid w:val="00E86504"/>
    <w:rsid w:val="00E96151"/>
    <w:rsid w:val="00EA2BB6"/>
    <w:rsid w:val="00EC1229"/>
    <w:rsid w:val="00EC2053"/>
    <w:rsid w:val="00ED0EDB"/>
    <w:rsid w:val="00EF5623"/>
    <w:rsid w:val="00EF7BE8"/>
    <w:rsid w:val="00F021E9"/>
    <w:rsid w:val="00F11DBB"/>
    <w:rsid w:val="00F413AD"/>
    <w:rsid w:val="00F42E21"/>
    <w:rsid w:val="00F7586D"/>
    <w:rsid w:val="00F766D3"/>
    <w:rsid w:val="00F77321"/>
    <w:rsid w:val="00F831FF"/>
    <w:rsid w:val="00F90DF0"/>
    <w:rsid w:val="00FD07BB"/>
    <w:rsid w:val="00FD4D62"/>
    <w:rsid w:val="00FE2115"/>
    <w:rsid w:val="00FE5E93"/>
    <w:rsid w:val="00FF3F30"/>
  </w:rsids>
  <w:docVars>
    <w:docVar w:name="__Grammarly_42___1" w:val="H4sIAAAAAAAEAKtWcslP9kxRslIyNDYytzQ2MjQxMDYyMDA0NTNS0lEKTi0uzszPAykwqgUANfGRG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C378C5"/>
  <w15:chartTrackingRefBased/>
  <w15:docId w15:val="{5BB6ADE1-49BE-496A-95D4-1BBA4ABE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2">
    <w:name w:val="heading 2"/>
    <w:basedOn w:val="Normal"/>
    <w:next w:val="Normal"/>
    <w:link w:val="Heading2Char"/>
    <w:uiPriority w:val="9"/>
    <w:rsid w:val="00FD4D62"/>
    <w:pPr>
      <w:spacing w:before="240" w:after="120"/>
      <w:outlineLvl w:val="1"/>
    </w:pPr>
    <w:rPr>
      <w:rFonts w:ascii="Calibri" w:eastAsia="Calibri" w:hAnsi="Calibri" w:cs="Times New Roman"/>
      <w:b/>
      <w:i/>
      <w:color w:val="BC5D58"/>
      <w:sz w:val="24"/>
    </w:rPr>
  </w:style>
  <w:style w:type="paragraph" w:styleId="Heading3">
    <w:name w:val="heading 3"/>
    <w:basedOn w:val="Normal"/>
    <w:next w:val="Normal"/>
    <w:link w:val="Heading3Char"/>
    <w:uiPriority w:val="9"/>
    <w:rsid w:val="00FD4D62"/>
    <w:pPr>
      <w:spacing w:before="240" w:after="120"/>
      <w:outlineLvl w:val="2"/>
    </w:pPr>
    <w:rPr>
      <w:rFonts w:ascii="Calibri" w:eastAsia="Calibri" w:hAnsi="Calibri" w:cs="Times New Roman"/>
      <w:i/>
      <w:color w:val="BC5D58"/>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036D4E"/>
    <w:pPr>
      <w:spacing w:after="120" w:line="228" w:lineRule="auto"/>
    </w:pPr>
    <w:rPr>
      <w:b/>
      <w:color w:val="CE2C43"/>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036D4E"/>
    <w:rPr>
      <w:b/>
      <w:color w:val="CE2C43"/>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FD4D62"/>
    <w:pPr>
      <w:spacing w:before="160"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FD4D62"/>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F77321"/>
    <w:pPr>
      <w:spacing w:after="60"/>
    </w:pPr>
  </w:style>
  <w:style w:type="paragraph" w:customStyle="1" w:styleId="Checkbox">
    <w:name w:val="Checkbox"/>
    <w:basedOn w:val="BulletList"/>
    <w:link w:val="CheckboxChar"/>
    <w:qFormat/>
    <w:rsid w:val="00CB7D73"/>
    <w:pPr>
      <w:numPr>
        <w:numId w:val="3"/>
      </w:numPr>
      <w:tabs>
        <w:tab w:val="left" w:pos="540"/>
      </w:tabs>
      <w:ind w:left="360"/>
    </w:pPr>
  </w:style>
  <w:style w:type="character" w:customStyle="1" w:styleId="BulletListChar">
    <w:name w:val="Bullet List Char"/>
    <w:basedOn w:val="BodyTextChar"/>
    <w:link w:val="BulletList"/>
    <w:rsid w:val="00F77321"/>
    <w:rPr>
      <w:rFonts w:ascii="Calibri" w:eastAsia="Times New Roman" w:hAnsi="Calibri" w:cs="Arial"/>
      <w:color w:val="595959"/>
      <w:szCs w:val="20"/>
    </w:rPr>
  </w:style>
  <w:style w:type="paragraph" w:customStyle="1" w:styleId="Xbox">
    <w:name w:val="Xbox"/>
    <w:basedOn w:val="Checkbox"/>
    <w:link w:val="XboxChar"/>
    <w:qFormat/>
    <w:rsid w:val="001D411C"/>
    <w:pPr>
      <w:numPr>
        <w:numId w:val="4"/>
      </w:numPr>
    </w:pPr>
  </w:style>
  <w:style w:type="character" w:customStyle="1" w:styleId="CheckboxChar">
    <w:name w:val="Checkbox Char"/>
    <w:basedOn w:val="BulletListChar"/>
    <w:link w:val="Checkbox"/>
    <w:rsid w:val="00CB7D73"/>
    <w:rPr>
      <w:rFonts w:ascii="Calibri" w:eastAsia="Times New Roman" w:hAnsi="Calibri" w:cs="Arial"/>
      <w:color w:val="595959"/>
      <w:szCs w:val="20"/>
    </w:rPr>
  </w:style>
  <w:style w:type="paragraph" w:customStyle="1" w:styleId="CallOutBox">
    <w:name w:val="Call Out Box"/>
    <w:basedOn w:val="Footer"/>
    <w:link w:val="CallOutBoxChar"/>
    <w:qFormat/>
    <w:rsid w:val="00036D4E"/>
    <w:pPr>
      <w:jc w:val="center"/>
    </w:pPr>
    <w:rPr>
      <w:b/>
      <w:i/>
      <w:color w:val="CE2C43"/>
      <w:sz w:val="36"/>
      <w:szCs w:val="36"/>
    </w:rPr>
  </w:style>
  <w:style w:type="character" w:customStyle="1" w:styleId="XboxChar">
    <w:name w:val="Xbox Char"/>
    <w:basedOn w:val="CheckboxChar"/>
    <w:link w:val="Xbox"/>
    <w:rsid w:val="001D411C"/>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036D4E"/>
    <w:rPr>
      <w:b/>
      <w:i/>
      <w:color w:val="CE2C43"/>
      <w:sz w:val="36"/>
      <w:szCs w:val="36"/>
    </w:rPr>
  </w:style>
  <w:style w:type="paragraph" w:customStyle="1" w:styleId="TableHeader">
    <w:name w:val="Table Header"/>
    <w:basedOn w:val="BodyText"/>
    <w:link w:val="TableHeaderChar"/>
    <w:qFormat/>
    <w:rsid w:val="00FD4D62"/>
    <w:pPr>
      <w:spacing w:before="80" w:after="80"/>
      <w:jc w:val="center"/>
    </w:pPr>
    <w:rPr>
      <w:rFonts w:eastAsia="Calibri"/>
      <w:b/>
      <w:color w:val="FFFFFF" w:themeColor="background1"/>
      <w:sz w:val="26"/>
      <w:szCs w:val="26"/>
    </w:rPr>
  </w:style>
  <w:style w:type="character" w:customStyle="1" w:styleId="TableHeaderChar">
    <w:name w:val="Table Header Char"/>
    <w:basedOn w:val="BodyTextChar"/>
    <w:link w:val="TableHeader"/>
    <w:rsid w:val="00FD4D62"/>
    <w:rPr>
      <w:rFonts w:ascii="Calibri" w:eastAsia="Calibri" w:hAnsi="Calibri" w:cs="Arial"/>
      <w:b/>
      <w:color w:val="FFFFFF" w:themeColor="background1"/>
      <w:sz w:val="26"/>
      <w:szCs w:val="26"/>
    </w:rPr>
  </w:style>
  <w:style w:type="character" w:styleId="Hyperlink">
    <w:name w:val="Hyperlink"/>
    <w:basedOn w:val="DefaultParagraphFont"/>
    <w:uiPriority w:val="99"/>
    <w:unhideWhenUsed/>
    <w:rsid w:val="008C01A9"/>
    <w:rPr>
      <w:color w:val="0563C1" w:themeColor="hyperlink"/>
      <w:u w:val="single"/>
    </w:rPr>
  </w:style>
  <w:style w:type="paragraph" w:customStyle="1" w:styleId="BulletlistHighlight">
    <w:name w:val="Bullet list Highlight"/>
    <w:basedOn w:val="BodyText"/>
    <w:rsid w:val="008C01A9"/>
    <w:pPr>
      <w:numPr>
        <w:numId w:val="5"/>
      </w:numPr>
      <w:spacing w:before="120" w:after="120"/>
    </w:pPr>
    <w:rPr>
      <w:color w:val="FFFFFF"/>
    </w:rPr>
  </w:style>
  <w:style w:type="paragraph" w:customStyle="1" w:styleId="LR-Heading">
    <w:name w:val="LR-Heading"/>
    <w:basedOn w:val="Normal"/>
    <w:link w:val="LR-HeadingChar"/>
    <w:qFormat/>
    <w:rsid w:val="00036D4E"/>
    <w:pPr>
      <w:spacing w:before="120" w:after="120" w:line="240" w:lineRule="auto"/>
    </w:pPr>
    <w:rPr>
      <w:rFonts w:ascii="Calibri" w:eastAsia="Times New Roman" w:hAnsi="Calibri" w:cs="Times New Roman"/>
      <w:b/>
      <w:caps/>
      <w:color w:val="CE2C43"/>
      <w:sz w:val="28"/>
      <w:szCs w:val="20"/>
    </w:rPr>
  </w:style>
  <w:style w:type="character" w:customStyle="1" w:styleId="LR-HeadingChar">
    <w:name w:val="LR-Heading Char"/>
    <w:link w:val="LR-Heading"/>
    <w:rsid w:val="00036D4E"/>
    <w:rPr>
      <w:rFonts w:ascii="Calibri" w:eastAsia="Times New Roman" w:hAnsi="Calibri" w:cs="Times New Roman"/>
      <w:b/>
      <w:caps/>
      <w:color w:val="CE2C43"/>
      <w:sz w:val="28"/>
      <w:szCs w:val="20"/>
    </w:rPr>
  </w:style>
  <w:style w:type="paragraph" w:customStyle="1" w:styleId="LR-BulletList">
    <w:name w:val="LR-Bullet List"/>
    <w:basedOn w:val="BulletlistHighlight"/>
    <w:link w:val="LR-BulletListChar"/>
    <w:qFormat/>
    <w:rsid w:val="008C01A9"/>
    <w:rPr>
      <w:color w:val="595959"/>
    </w:rPr>
  </w:style>
  <w:style w:type="character" w:customStyle="1" w:styleId="LR-BulletListChar">
    <w:name w:val="LR-Bullet List Char"/>
    <w:link w:val="LR-BulletList"/>
    <w:rsid w:val="008C01A9"/>
    <w:rPr>
      <w:rFonts w:ascii="Calibri" w:eastAsia="Times New Roman" w:hAnsi="Calibri" w:cs="Arial"/>
      <w:color w:val="595959"/>
      <w:szCs w:val="20"/>
    </w:rPr>
  </w:style>
  <w:style w:type="paragraph" w:customStyle="1" w:styleId="SectionedHeader">
    <w:name w:val="Sectioned Header"/>
    <w:basedOn w:val="SubHeader"/>
    <w:link w:val="SectionedHeaderChar"/>
    <w:qFormat/>
    <w:rsid w:val="00036D4E"/>
    <w:rPr>
      <w:color w:val="CE2C43"/>
      <w:sz w:val="32"/>
      <w:szCs w:val="32"/>
    </w:rPr>
  </w:style>
  <w:style w:type="character" w:customStyle="1" w:styleId="SectionedHeaderChar">
    <w:name w:val="Sectioned Header Char"/>
    <w:basedOn w:val="SubHeaderChar"/>
    <w:link w:val="SectionedHeader"/>
    <w:rsid w:val="00036D4E"/>
    <w:rPr>
      <w:rFonts w:ascii="Calibri" w:eastAsia="Times New Roman" w:hAnsi="Calibri" w:cs="Arial"/>
      <w:b/>
      <w:color w:val="CE2C43"/>
      <w:sz w:val="32"/>
      <w:szCs w:val="32"/>
    </w:rPr>
  </w:style>
  <w:style w:type="numbering" w:customStyle="1" w:styleId="BulletedList">
    <w:name w:val="Bulleted List"/>
    <w:uiPriority w:val="99"/>
    <w:rsid w:val="00441DF1"/>
    <w:pPr>
      <w:numPr>
        <w:numId w:val="7"/>
      </w:numPr>
    </w:pPr>
  </w:style>
  <w:style w:type="paragraph" w:customStyle="1" w:styleId="Bullet">
    <w:name w:val="Bullet"/>
    <w:basedOn w:val="BodyText"/>
    <w:link w:val="BulletChar"/>
    <w:qFormat/>
    <w:rsid w:val="00763EB7"/>
    <w:pPr>
      <w:numPr>
        <w:numId w:val="14"/>
      </w:numPr>
    </w:pPr>
  </w:style>
  <w:style w:type="character" w:customStyle="1" w:styleId="BulletChar">
    <w:name w:val="Bullet Char"/>
    <w:basedOn w:val="BodyTextChar"/>
    <w:link w:val="Bullet"/>
    <w:rsid w:val="00763EB7"/>
    <w:rPr>
      <w:rFonts w:ascii="Calibri" w:eastAsia="Times New Roman" w:hAnsi="Calibri" w:cs="Arial"/>
      <w:color w:val="595959"/>
      <w:szCs w:val="20"/>
    </w:rPr>
  </w:style>
  <w:style w:type="character" w:styleId="UnresolvedMention">
    <w:name w:val="Unresolved Mention"/>
    <w:basedOn w:val="DefaultParagraphFont"/>
    <w:uiPriority w:val="99"/>
    <w:semiHidden/>
    <w:unhideWhenUsed/>
    <w:rsid w:val="00FD4D62"/>
    <w:rPr>
      <w:color w:val="605E5C"/>
      <w:shd w:val="clear" w:color="auto" w:fill="E1DFDD"/>
    </w:rPr>
  </w:style>
  <w:style w:type="character" w:customStyle="1" w:styleId="Heading2Char">
    <w:name w:val="Heading 2 Char"/>
    <w:basedOn w:val="DefaultParagraphFont"/>
    <w:link w:val="Heading2"/>
    <w:uiPriority w:val="9"/>
    <w:rsid w:val="00FD4D62"/>
    <w:rPr>
      <w:rFonts w:ascii="Calibri" w:eastAsia="Calibri" w:hAnsi="Calibri" w:cs="Times New Roman"/>
      <w:b/>
      <w:i/>
      <w:color w:val="BC5D58"/>
      <w:sz w:val="24"/>
    </w:rPr>
  </w:style>
  <w:style w:type="character" w:customStyle="1" w:styleId="Heading3Char">
    <w:name w:val="Heading 3 Char"/>
    <w:basedOn w:val="DefaultParagraphFont"/>
    <w:link w:val="Heading3"/>
    <w:uiPriority w:val="9"/>
    <w:rsid w:val="00FD4D62"/>
    <w:rPr>
      <w:rFonts w:ascii="Calibri" w:eastAsia="Calibri" w:hAnsi="Calibri" w:cs="Times New Roman"/>
      <w:i/>
      <w:color w:val="BC5D58"/>
      <w:sz w:val="24"/>
      <w:u w:val="single"/>
    </w:rPr>
  </w:style>
  <w:style w:type="paragraph" w:customStyle="1" w:styleId="T-Heading">
    <w:name w:val="T-Heading"/>
    <w:basedOn w:val="Normal"/>
    <w:link w:val="T-HeadingChar"/>
    <w:rsid w:val="00FD4D62"/>
    <w:pPr>
      <w:spacing w:before="60" w:after="60" w:line="240" w:lineRule="auto"/>
      <w:jc w:val="center"/>
    </w:pPr>
    <w:rPr>
      <w:rFonts w:ascii="Calibri" w:eastAsia="Calibri" w:hAnsi="Calibri" w:cs="Times New Roman"/>
      <w:b/>
      <w:caps/>
      <w:color w:val="FFFFFF"/>
      <w:sz w:val="28"/>
      <w:szCs w:val="20"/>
    </w:rPr>
  </w:style>
  <w:style w:type="paragraph" w:customStyle="1" w:styleId="T-Text">
    <w:name w:val="T-Text"/>
    <w:basedOn w:val="Normal"/>
    <w:link w:val="T-TextChar"/>
    <w:rsid w:val="00FD4D62"/>
    <w:pPr>
      <w:spacing w:before="120" w:after="120" w:line="240" w:lineRule="auto"/>
    </w:pPr>
    <w:rPr>
      <w:rFonts w:ascii="Calibri" w:eastAsia="Calibri" w:hAnsi="Calibri" w:cs="Times New Roman"/>
      <w:color w:val="595959"/>
      <w:szCs w:val="20"/>
    </w:rPr>
  </w:style>
  <w:style w:type="character" w:customStyle="1" w:styleId="T-HeadingChar">
    <w:name w:val="T-Heading Char"/>
    <w:link w:val="T-Heading"/>
    <w:rsid w:val="00FD4D62"/>
    <w:rPr>
      <w:rFonts w:ascii="Calibri" w:eastAsia="Calibri" w:hAnsi="Calibri" w:cs="Times New Roman"/>
      <w:b/>
      <w:caps/>
      <w:color w:val="FFFFFF"/>
      <w:sz w:val="28"/>
      <w:szCs w:val="20"/>
    </w:rPr>
  </w:style>
  <w:style w:type="character" w:customStyle="1" w:styleId="T-TextChar">
    <w:name w:val="T-Text Char"/>
    <w:link w:val="T-Text"/>
    <w:rsid w:val="00FD4D62"/>
    <w:rPr>
      <w:rFonts w:ascii="Calibri" w:eastAsia="Calibri" w:hAnsi="Calibri" w:cs="Times New Roman"/>
      <w:color w:val="595959"/>
      <w:szCs w:val="20"/>
    </w:rPr>
  </w:style>
  <w:style w:type="paragraph" w:customStyle="1" w:styleId="T-BulletList">
    <w:name w:val="T-Bullet List"/>
    <w:basedOn w:val="ListParagraph"/>
    <w:link w:val="T-BulletListChar"/>
    <w:qFormat/>
    <w:rsid w:val="00FD4D62"/>
    <w:pPr>
      <w:numPr>
        <w:numId w:val="18"/>
      </w:numPr>
      <w:spacing w:before="40" w:after="40" w:line="240" w:lineRule="auto"/>
      <w:ind w:left="288"/>
      <w:contextualSpacing w:val="0"/>
    </w:pPr>
    <w:rPr>
      <w:rFonts w:ascii="Calibri" w:eastAsia="Calibri" w:hAnsi="Calibri" w:cs="Times New Roman"/>
      <w:color w:val="595959"/>
      <w:szCs w:val="20"/>
    </w:rPr>
  </w:style>
  <w:style w:type="paragraph" w:customStyle="1" w:styleId="H-BulletList">
    <w:name w:val="H-Bullet List"/>
    <w:basedOn w:val="T-BulletList"/>
    <w:qFormat/>
    <w:rsid w:val="00FD4D62"/>
    <w:pPr>
      <w:numPr>
        <w:numId w:val="16"/>
      </w:numPr>
      <w:spacing w:before="120" w:after="120"/>
      <w:ind w:left="2966" w:hanging="360"/>
    </w:pPr>
    <w:rPr>
      <w:szCs w:val="24"/>
    </w:rPr>
  </w:style>
  <w:style w:type="character" w:customStyle="1" w:styleId="T-BulletListChar">
    <w:name w:val="T-Bullet List Char"/>
    <w:link w:val="T-BulletList"/>
    <w:rsid w:val="00FD4D62"/>
    <w:rPr>
      <w:rFonts w:ascii="Calibri" w:eastAsia="Calibri" w:hAnsi="Calibri" w:cs="Times New Roman"/>
      <w:color w:val="595959"/>
      <w:szCs w:val="20"/>
    </w:rPr>
  </w:style>
  <w:style w:type="paragraph" w:customStyle="1" w:styleId="T-Subheading">
    <w:name w:val="T-Subheading"/>
    <w:basedOn w:val="T-Text"/>
    <w:link w:val="T-SubheadingChar"/>
    <w:rsid w:val="00FD4D62"/>
    <w:pPr>
      <w:spacing w:before="40" w:after="40"/>
    </w:pPr>
    <w:rPr>
      <w:i/>
      <w:color w:val="BC5D58"/>
      <w:u w:val="single"/>
    </w:rPr>
  </w:style>
  <w:style w:type="character" w:customStyle="1" w:styleId="T-SubheadingChar">
    <w:name w:val="T-Subheading Char"/>
    <w:link w:val="T-Subheading"/>
    <w:rsid w:val="00FD4D62"/>
    <w:rPr>
      <w:rFonts w:ascii="Calibri" w:eastAsia="Calibri" w:hAnsi="Calibri" w:cs="Times New Roman"/>
      <w:i/>
      <w:color w:val="BC5D58"/>
      <w:szCs w:val="20"/>
      <w:u w:val="single"/>
    </w:rPr>
  </w:style>
  <w:style w:type="paragraph" w:styleId="ListParagraph">
    <w:name w:val="List Paragraph"/>
    <w:basedOn w:val="Normal"/>
    <w:uiPriority w:val="34"/>
    <w:rsid w:val="00FD4D62"/>
    <w:pPr>
      <w:ind w:left="720"/>
      <w:contextualSpacing/>
    </w:pPr>
  </w:style>
  <w:style w:type="character" w:styleId="CommentReference">
    <w:name w:val="annotation reference"/>
    <w:basedOn w:val="DefaultParagraphFont"/>
    <w:uiPriority w:val="99"/>
    <w:semiHidden/>
    <w:unhideWhenUsed/>
    <w:rsid w:val="00DF43A9"/>
    <w:rPr>
      <w:sz w:val="16"/>
      <w:szCs w:val="16"/>
    </w:rPr>
  </w:style>
  <w:style w:type="paragraph" w:styleId="CommentText">
    <w:name w:val="annotation text"/>
    <w:basedOn w:val="Normal"/>
    <w:link w:val="CommentTextChar"/>
    <w:uiPriority w:val="99"/>
    <w:semiHidden/>
    <w:unhideWhenUsed/>
    <w:rsid w:val="00DF43A9"/>
    <w:pPr>
      <w:spacing w:line="240" w:lineRule="auto"/>
    </w:pPr>
    <w:rPr>
      <w:sz w:val="20"/>
      <w:szCs w:val="20"/>
    </w:rPr>
  </w:style>
  <w:style w:type="character" w:customStyle="1" w:styleId="CommentTextChar">
    <w:name w:val="Comment Text Char"/>
    <w:basedOn w:val="DefaultParagraphFont"/>
    <w:link w:val="CommentText"/>
    <w:uiPriority w:val="99"/>
    <w:semiHidden/>
    <w:rsid w:val="00DF43A9"/>
    <w:rPr>
      <w:sz w:val="20"/>
      <w:szCs w:val="20"/>
    </w:rPr>
  </w:style>
  <w:style w:type="paragraph" w:styleId="CommentSubject">
    <w:name w:val="annotation subject"/>
    <w:basedOn w:val="CommentText"/>
    <w:next w:val="CommentText"/>
    <w:link w:val="CommentSubjectChar"/>
    <w:uiPriority w:val="99"/>
    <w:semiHidden/>
    <w:unhideWhenUsed/>
    <w:rsid w:val="00DF43A9"/>
    <w:rPr>
      <w:b/>
      <w:bCs/>
    </w:rPr>
  </w:style>
  <w:style w:type="character" w:customStyle="1" w:styleId="CommentSubjectChar">
    <w:name w:val="Comment Subject Char"/>
    <w:basedOn w:val="CommentTextChar"/>
    <w:link w:val="CommentSubject"/>
    <w:uiPriority w:val="99"/>
    <w:semiHidden/>
    <w:rsid w:val="00DF43A9"/>
    <w:rPr>
      <w:b/>
      <w:bCs/>
      <w:sz w:val="20"/>
      <w:szCs w:val="20"/>
    </w:rPr>
  </w:style>
  <w:style w:type="paragraph" w:styleId="BalloonText">
    <w:name w:val="Balloon Text"/>
    <w:basedOn w:val="Normal"/>
    <w:link w:val="BalloonTextChar"/>
    <w:uiPriority w:val="99"/>
    <w:semiHidden/>
    <w:unhideWhenUsed/>
    <w:rsid w:val="00DF4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3A9"/>
    <w:rPr>
      <w:rFonts w:ascii="Segoe UI" w:hAnsi="Segoe UI" w:cs="Segoe UI"/>
      <w:sz w:val="18"/>
      <w:szCs w:val="18"/>
    </w:rPr>
  </w:style>
  <w:style w:type="paragraph" w:styleId="Revision">
    <w:name w:val="Revision"/>
    <w:hidden/>
    <w:uiPriority w:val="99"/>
    <w:semiHidden/>
    <w:rsid w:val="005E109F"/>
    <w:pPr>
      <w:spacing w:after="0" w:line="240" w:lineRule="auto"/>
    </w:pPr>
  </w:style>
  <w:style w:type="character" w:styleId="FollowedHyperlink">
    <w:name w:val="FollowedHyperlink"/>
    <w:basedOn w:val="DefaultParagraphFont"/>
    <w:uiPriority w:val="99"/>
    <w:semiHidden/>
    <w:unhideWhenUsed/>
    <w:rsid w:val="008F16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public-inspection/2020-27498/grandfathered-group-health-plans-and-grandfathered-group-health-insurance-coverage" TargetMode="External" /><Relationship Id="rId11" Type="http://schemas.openxmlformats.org/officeDocument/2006/relationships/hyperlink" Target="https://www.dol.gov/sites/default/files/ebsa/laws-and-regulations/laws/affordable-care-act/for-employers-and-advisers/grandfathered-health-plans-model-notice.doc" TargetMode="External" /><Relationship Id="rId12" Type="http://schemas.openxmlformats.org/officeDocument/2006/relationships/hyperlink" Target="https://www.regtap.info/uploads/library/Embedded_MOOP_FAQ__V1_CR_050815.pdf" TargetMode="External" /><Relationship Id="rId13" Type="http://schemas.openxmlformats.org/officeDocument/2006/relationships/hyperlink" Target="https://www.cms.gov/cciio/Resources/forms-reports-and-other-resources/index.html" TargetMode="External" /><Relationship Id="rId14" Type="http://schemas.openxmlformats.org/officeDocument/2006/relationships/hyperlink" Target="https://www.irs.gov/pub/irs-drop/reg-109128-21.pdf" TargetMode="External" /><Relationship Id="rId15" Type="http://schemas.openxmlformats.org/officeDocument/2006/relationships/hyperlink" Target="http://www.irs.gov/for-Tax-Pros/Software-Developers/Information-Returns/Affordable-Care-Act-Information-Return-AIR-Program" TargetMode="Externa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s://www.federalregister.gov/public-inspection/2021-09102/patient-protection-and-affordable-care-act-notice-of-benefit-and-payment-parameters-for-2022-and" TargetMode="External" /><Relationship Id="rId9" Type="http://schemas.openxmlformats.org/officeDocument/2006/relationships/hyperlink" Target="https://www.irs.gov/irb/2021-35_IRB"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Rollefson, Becca</dc:creator>
  <cp:lastModifiedBy>Rollefson, Becca</cp:lastModifiedBy>
  <cp:revision>2</cp:revision>
  <dcterms:created xsi:type="dcterms:W3CDTF">2022-01-04T18:32:00Z</dcterms:created>
  <dcterms:modified xsi:type="dcterms:W3CDTF">2022-01-04T18:32:00Z</dcterms:modified>
</cp:coreProperties>
</file>