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6000D" w:rsidP="008A7E71" w14:paraId="71FEF920" w14:textId="46776352">
      <w:pPr>
        <w:pStyle w:val="MainTitle"/>
      </w:pPr>
      <w:r w:rsidR="00501373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5969000</wp:posOffset>
            </wp:positionV>
            <wp:extent cx="1645923" cy="1120142"/>
            <wp:wrapNone/>
            <wp:docPr id="100031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-449580</wp:posOffset>
                </wp:positionH>
                <wp:positionV relativeFrom="page">
                  <wp:posOffset>2499360</wp:posOffset>
                </wp:positionV>
                <wp:extent cx="7772400" cy="3084195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398" cy="3084195"/>
                          <a:chOff x="1" y="0"/>
                          <a:chExt cx="7772398" cy="308419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" y="0"/>
                            <a:ext cx="7772398" cy="637607"/>
                            <a:chOff x="1" y="0"/>
                            <a:chExt cx="7772398" cy="637607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" y="2473"/>
                              <a:ext cx="7772398" cy="63513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8760" y="0"/>
                              <a:ext cx="2293620" cy="3428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4AB" w:rsidRPr="008864AB" w:rsidP="008864AB" w14:textId="381D2A4E">
                                <w:pPr>
                                  <w:pStyle w:val="SubHead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Key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/>
                        </wps:wsp>
                      </wpg:grpSp>
                      <wps:wsp xmlns:wps="http://schemas.microsoft.com/office/word/2010/wordprocessingShape"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8280" y="373380"/>
                            <a:ext cx="2301240" cy="271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7658" w:rsidRPr="008E7658" w:rsidP="008E7658" w14:textId="77777777">
                              <w:pPr>
                                <w:pStyle w:val="SubHeader"/>
                              </w:pPr>
                              <w:r w:rsidRPr="008E7658">
                                <w:t>Annual Updates</w:t>
                              </w:r>
                            </w:p>
                            <w:p w:rsidR="008E7658" w:rsidRPr="008E7658" w:rsidP="008E7658" w14:textId="77777777">
                              <w:pPr>
                                <w:pStyle w:val="BodyText"/>
                                <w:rPr>
                                  <w:b/>
                                </w:rPr>
                              </w:pPr>
                              <w:r>
                                <w:t>OSHA</w:t>
                              </w:r>
                              <w:r w:rsidRPr="008E7658">
                                <w:t xml:space="preserve"> must adjust its civil penalty amounts for inflation each year. </w:t>
                              </w:r>
                            </w:p>
                            <w:p w:rsidR="008E7658" w:rsidRPr="008E7658" w:rsidP="008E7658" w14:textId="77777777">
                              <w:pPr>
                                <w:pStyle w:val="SubHeader"/>
                              </w:pPr>
                              <w:r w:rsidRPr="008E7658">
                                <w:t>Possible Penalties</w:t>
                              </w:r>
                            </w:p>
                            <w:p w:rsidR="008E7658" w:rsidRPr="008E7658" w:rsidP="008E7658" w14:textId="77777777">
                              <w:pPr>
                                <w:pStyle w:val="BodyText"/>
                              </w:pPr>
                              <w:r>
                                <w:t>OSHA</w:t>
                              </w:r>
                              <w:r w:rsidRPr="008E7658">
                                <w:t xml:space="preserve"> may assess these penalties on employers that violate </w:t>
                              </w:r>
                              <w:r>
                                <w:t>workplace safety and health standards set by the OSH Act.</w:t>
                              </w:r>
                            </w:p>
                            <w:p w:rsidR="008E7658" w:rsidRPr="008E7658" w:rsidP="008E7658" w14:textId="77777777">
                              <w:pPr>
                                <w:pStyle w:val="SubHeader"/>
                              </w:pPr>
                              <w:r w:rsidRPr="008E7658">
                                <w:t>Compliance Review</w:t>
                              </w:r>
                            </w:p>
                            <w:p w:rsidR="0024208C" w:rsidP="008E7658" w14:textId="77777777">
                              <w:pPr>
                                <w:pStyle w:val="BodyText"/>
                              </w:pPr>
                              <w:r>
                                <w:t>E</w:t>
                              </w:r>
                              <w:r w:rsidRPr="008E7658">
                                <w:t xml:space="preserve">mployers should review their compliance with </w:t>
                              </w:r>
                              <w:r>
                                <w:t>OSHA regulations t</w:t>
                              </w:r>
                              <w:r w:rsidRPr="008E7658">
                                <w:t>o minimize potential liability</w:t>
                              </w:r>
                              <w:r>
                                <w:t>.</w:t>
                              </w:r>
                            </w:p>
                            <w:p w:rsidR="008E7658" w:rsidP="008E7658" w14:textId="77777777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5" style="width:612pt;height:242.85pt;margin-top:196.8pt;margin-left:-35.4pt;mso-height-relative:margin;mso-position-vertical-relative:page;position:absolute;z-index:-251656192" coordsize="77723,30841">
                <v:group id="Group 15" o:spid="_x0000_s1026" style="width:77723;height:6376;position:absolute" coordsize="77723,637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width:77723;height:6352;mso-wrap-style:square;position:absolute;top:24;visibility:visible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width:22936;height:3428;left:53187;mso-wrap-style:square;position:absolute;v-text-anchor:middle;visibility:visible" filled="f" stroked="f">
                    <v:textbox>
                      <w:txbxContent>
                        <w:p w:rsidR="008864AB" w:rsidRPr="008864AB" w:rsidP="008864AB" w14:paraId="37D403B1" w14:textId="381D2A4E">
                          <w:pPr>
                            <w:pStyle w:val="Sub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Key Points</w:t>
                          </w:r>
                        </w:p>
                      </w:txbxContent>
                    </v:textbox>
                  </v:shape>
                </v:group>
                <v:shape id="_x0000_s1029" type="#_x0000_t202" style="width:23013;height:27108;left:52882;mso-wrap-style:square;position:absolute;top:3733;v-text-anchor:top;visibility:visible" filled="f" stroked="f">
                  <v:textbox>
                    <w:txbxContent>
                      <w:p w:rsidR="008E7658" w:rsidRPr="008E7658" w:rsidP="008E7658" w14:paraId="68649C39" w14:textId="77777777">
                        <w:pPr>
                          <w:pStyle w:val="SubHeader"/>
                        </w:pPr>
                        <w:r w:rsidRPr="008E7658">
                          <w:t>Annual Updates</w:t>
                        </w:r>
                      </w:p>
                      <w:p w:rsidR="008E7658" w:rsidRPr="008E7658" w:rsidP="008E7658" w14:paraId="76CA2AFE" w14:textId="77777777">
                        <w:pPr>
                          <w:pStyle w:val="BodyText"/>
                          <w:rPr>
                            <w:b/>
                          </w:rPr>
                        </w:pPr>
                        <w:r>
                          <w:t>OSHA</w:t>
                        </w:r>
                        <w:r w:rsidRPr="008E7658">
                          <w:t xml:space="preserve"> must adjust its civil penalty amounts for inflation each year. </w:t>
                        </w:r>
                      </w:p>
                      <w:p w:rsidR="008E7658" w:rsidRPr="008E7658" w:rsidP="008E7658" w14:paraId="44E04EE1" w14:textId="77777777">
                        <w:pPr>
                          <w:pStyle w:val="SubHeader"/>
                        </w:pPr>
                        <w:r w:rsidRPr="008E7658">
                          <w:t>Possible Penalties</w:t>
                        </w:r>
                      </w:p>
                      <w:p w:rsidR="008E7658" w:rsidRPr="008E7658" w:rsidP="008E7658" w14:paraId="6C3EEA46" w14:textId="77777777">
                        <w:pPr>
                          <w:pStyle w:val="BodyText"/>
                        </w:pPr>
                        <w:r>
                          <w:t>OSHA</w:t>
                        </w:r>
                        <w:r w:rsidRPr="008E7658">
                          <w:t xml:space="preserve"> may assess these penalties on employers that violate </w:t>
                        </w:r>
                        <w:r>
                          <w:t>workplace safety and health standards set by the OSH Act.</w:t>
                        </w:r>
                      </w:p>
                      <w:p w:rsidR="008E7658" w:rsidRPr="008E7658" w:rsidP="008E7658" w14:paraId="44AE65C8" w14:textId="77777777">
                        <w:pPr>
                          <w:pStyle w:val="SubHeader"/>
                        </w:pPr>
                        <w:r w:rsidRPr="008E7658">
                          <w:t>Compliance Review</w:t>
                        </w:r>
                      </w:p>
                      <w:p w:rsidR="0024208C" w:rsidP="008E7658" w14:paraId="7183884A" w14:textId="77777777">
                        <w:pPr>
                          <w:pStyle w:val="BodyText"/>
                        </w:pPr>
                        <w:r>
                          <w:t>E</w:t>
                        </w:r>
                        <w:r w:rsidRPr="008E7658">
                          <w:t xml:space="preserve">mployers should review their compliance with </w:t>
                        </w:r>
                        <w:r>
                          <w:t>OSHA regulations t</w:t>
                        </w:r>
                        <w:r w:rsidRPr="008E7658">
                          <w:t>o minimize potential liability</w:t>
                        </w:r>
                        <w:r>
                          <w:t>.</w:t>
                        </w:r>
                      </w:p>
                      <w:p w:rsidR="008E7658" w:rsidP="008E7658" w14:paraId="5E106888" w14:textId="77777777">
                        <w:pPr>
                          <w:pStyle w:val="BodyTex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01373">
        <w:t>202</w:t>
      </w:r>
      <w:r w:rsidR="00A35A5B">
        <w:t>2</w:t>
      </w:r>
      <w:r w:rsidR="00501373">
        <w:t xml:space="preserve"> OSHA Penalty Amounts</w:t>
      </w:r>
    </w:p>
    <w:p w:rsidR="00501373" w:rsidP="00501373" w14:paraId="5DA82BEC" w14:textId="52062802">
      <w:pPr>
        <w:pStyle w:val="BodyText"/>
      </w:pPr>
      <w:r>
        <w:t>T</w:t>
      </w:r>
      <w:r w:rsidRPr="00501373">
        <w:t>he Department of Labor</w:t>
      </w:r>
      <w:r>
        <w:t xml:space="preserve"> </w:t>
      </w:r>
      <w:r w:rsidRPr="00501373" w:rsidR="00A13D0A">
        <w:t xml:space="preserve">(DOL) </w:t>
      </w:r>
      <w:r>
        <w:t>has</w:t>
      </w:r>
      <w:r w:rsidRPr="00501373">
        <w:t xml:space="preserve"> </w:t>
      </w:r>
      <w:hyperlink r:id="rId6" w:history="1">
        <w:r>
          <w:rPr>
            <w:rStyle w:val="Hyperlink"/>
          </w:rPr>
          <w:t>released</w:t>
        </w:r>
      </w:hyperlink>
      <w:r w:rsidRPr="00501373">
        <w:t xml:space="preserve"> its 202</w:t>
      </w:r>
      <w:r w:rsidR="00A35A5B">
        <w:t>2</w:t>
      </w:r>
      <w:r w:rsidRPr="00501373">
        <w:t xml:space="preserve"> inflation-adjusted civil monetary penalties that may be assessed on employers for violations of a wide range of federal laws, inc</w:t>
      </w:r>
      <w:bookmarkStart w:id="0" w:name="_GoBack"/>
      <w:bookmarkEnd w:id="0"/>
      <w:r w:rsidRPr="00501373">
        <w:t>luding</w:t>
      </w:r>
      <w:r>
        <w:t xml:space="preserve"> the </w:t>
      </w:r>
      <w:r w:rsidRPr="00501373">
        <w:t>Occupational Safety and Health Act (OSH Act).</w:t>
      </w:r>
      <w:r>
        <w:t xml:space="preserve"> </w:t>
      </w:r>
      <w:r w:rsidRPr="00B55F80">
        <w:t xml:space="preserve">The increased amounts apply to civil penalties that are assessed </w:t>
      </w:r>
      <w:r w:rsidR="00A35A5B">
        <w:t xml:space="preserve">on or </w:t>
      </w:r>
      <w:r w:rsidRPr="00B55F80">
        <w:t>after Jan. 15, 202</w:t>
      </w:r>
      <w:r w:rsidR="00A35A5B">
        <w:t>2</w:t>
      </w:r>
      <w:r w:rsidRPr="00B55F80">
        <w:t>.</w:t>
      </w:r>
    </w:p>
    <w:tbl>
      <w:tblPr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2070"/>
        <w:gridCol w:w="2520"/>
        <w:gridCol w:w="2520"/>
      </w:tblGrid>
      <w:tr w14:paraId="73FBCFD3" w14:textId="77777777" w:rsidTr="00366C1F">
        <w:tblPrEx>
          <w:tblW w:w="7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0"/>
        </w:trPr>
        <w:tc>
          <w:tcPr>
            <w:tcW w:w="2070" w:type="dxa"/>
            <w:shd w:val="clear" w:color="auto" w:fill="39945E"/>
            <w:vAlign w:val="center"/>
          </w:tcPr>
          <w:p w:rsidR="00977A6A" w:rsidRPr="00501373" w:rsidP="00977A6A" w14:paraId="17A9DAC6" w14:textId="77777777">
            <w:pPr>
              <w:pStyle w:val="SubHeader"/>
              <w:jc w:val="center"/>
              <w:rPr>
                <w:color w:val="FFFFFF" w:themeColor="background1"/>
              </w:rPr>
            </w:pPr>
            <w:r w:rsidRPr="00501373">
              <w:rPr>
                <w:color w:val="FFFFFF" w:themeColor="background1"/>
              </w:rPr>
              <w:t>Violation Type</w:t>
            </w:r>
          </w:p>
        </w:tc>
        <w:tc>
          <w:tcPr>
            <w:tcW w:w="2520" w:type="dxa"/>
            <w:shd w:val="clear" w:color="auto" w:fill="39945E"/>
            <w:vAlign w:val="center"/>
          </w:tcPr>
          <w:p w:rsidR="00977A6A" w:rsidRPr="00501373" w:rsidP="00977A6A" w14:paraId="5B1457C8" w14:textId="405AB964">
            <w:pPr>
              <w:pStyle w:val="SubHeader"/>
              <w:jc w:val="center"/>
              <w:rPr>
                <w:color w:val="FFFFFF" w:themeColor="background1"/>
              </w:rPr>
            </w:pPr>
            <w:r w:rsidRPr="00501373">
              <w:rPr>
                <w:color w:val="FFFFFF" w:themeColor="background1"/>
              </w:rPr>
              <w:t>202</w:t>
            </w:r>
            <w:r w:rsidR="00F25EB6">
              <w:rPr>
                <w:color w:val="FFFFFF" w:themeColor="background1"/>
              </w:rPr>
              <w:t>1</w:t>
            </w:r>
          </w:p>
        </w:tc>
        <w:tc>
          <w:tcPr>
            <w:tcW w:w="2520" w:type="dxa"/>
            <w:shd w:val="clear" w:color="auto" w:fill="39945E"/>
            <w:vAlign w:val="center"/>
          </w:tcPr>
          <w:p w:rsidR="00977A6A" w:rsidRPr="00501373" w:rsidP="00977A6A" w14:paraId="6A3A8FD4" w14:textId="1E03AAF6">
            <w:pPr>
              <w:pStyle w:val="SubHead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202</w:t>
            </w:r>
            <w:r w:rsidR="00F25EB6">
              <w:rPr>
                <w:color w:val="FFFFFF" w:themeColor="background1"/>
              </w:rPr>
              <w:t>2</w:t>
            </w:r>
          </w:p>
        </w:tc>
      </w:tr>
      <w:tr w14:paraId="624A620C" w14:textId="77777777" w:rsidTr="001D16AE">
        <w:tblPrEx>
          <w:tblW w:w="7110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0"/>
        </w:trPr>
        <w:tc>
          <w:tcPr>
            <w:tcW w:w="2070" w:type="dxa"/>
            <w:shd w:val="clear" w:color="auto" w:fill="BDE5CD"/>
            <w:vAlign w:val="center"/>
          </w:tcPr>
          <w:p w:rsidR="00F25EB6" w:rsidRPr="00501373" w:rsidP="00F25EB6" w14:paraId="1E60BE60" w14:textId="77777777">
            <w:pPr>
              <w:pStyle w:val="BodyText"/>
              <w:jc w:val="left"/>
            </w:pPr>
            <w:r>
              <w:t>P</w:t>
            </w:r>
            <w:r w:rsidRPr="00501373">
              <w:t>osting requirement</w:t>
            </w:r>
          </w:p>
        </w:tc>
        <w:tc>
          <w:tcPr>
            <w:tcW w:w="2520" w:type="dxa"/>
            <w:shd w:val="clear" w:color="auto" w:fill="BDE5CD"/>
          </w:tcPr>
          <w:p w:rsidR="00F25EB6" w:rsidRPr="00F25EB6" w:rsidP="00F25EB6" w14:paraId="48BC4864" w14:textId="3F32AF6B">
            <w:pPr>
              <w:pStyle w:val="BodyText"/>
            </w:pPr>
            <w:r w:rsidRPr="00F25EB6">
              <w:t>Up to $13,653 for each violation</w:t>
            </w:r>
          </w:p>
        </w:tc>
        <w:tc>
          <w:tcPr>
            <w:tcW w:w="2520" w:type="dxa"/>
            <w:shd w:val="clear" w:color="auto" w:fill="BDE5CD"/>
            <w:vAlign w:val="center"/>
          </w:tcPr>
          <w:p w:rsidR="00F25EB6" w:rsidRPr="00F25EB6" w:rsidP="00F25EB6" w14:paraId="007431EF" w14:textId="33B20758">
            <w:pPr>
              <w:pStyle w:val="BodyText"/>
            </w:pPr>
            <w:r w:rsidRPr="00F25EB6">
              <w:t>Up to $14,502 for each violati</w:t>
            </w:r>
            <w:r w:rsidR="007E5CC1">
              <w:t>o</w:t>
            </w:r>
            <w:r w:rsidR="006E0A1E">
              <w:t>n</w:t>
            </w:r>
          </w:p>
        </w:tc>
      </w:tr>
      <w:tr w14:paraId="6CD06CB8" w14:textId="77777777" w:rsidTr="001D16AE">
        <w:tblPrEx>
          <w:tblW w:w="7110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0"/>
        </w:trPr>
        <w:tc>
          <w:tcPr>
            <w:tcW w:w="2070" w:type="dxa"/>
            <w:shd w:val="clear" w:color="auto" w:fill="D8F0E2"/>
            <w:vAlign w:val="center"/>
          </w:tcPr>
          <w:p w:rsidR="00F25EB6" w:rsidRPr="00501373" w:rsidP="00F25EB6" w14:paraId="5AA05F40" w14:textId="77777777">
            <w:pPr>
              <w:pStyle w:val="BodyText"/>
              <w:jc w:val="left"/>
            </w:pPr>
            <w:r w:rsidRPr="00501373">
              <w:t>Other-than-serious violation</w:t>
            </w:r>
          </w:p>
        </w:tc>
        <w:tc>
          <w:tcPr>
            <w:tcW w:w="2520" w:type="dxa"/>
            <w:shd w:val="clear" w:color="auto" w:fill="D8F0E2"/>
          </w:tcPr>
          <w:p w:rsidR="00F25EB6" w:rsidRPr="00F25EB6" w:rsidP="00F25EB6" w14:paraId="69865996" w14:textId="414F3636">
            <w:pPr>
              <w:pStyle w:val="BodyText"/>
            </w:pPr>
            <w:r w:rsidRPr="00F25EB6">
              <w:t>Up to $13,653 for each violation</w:t>
            </w:r>
          </w:p>
        </w:tc>
        <w:tc>
          <w:tcPr>
            <w:tcW w:w="2520" w:type="dxa"/>
            <w:shd w:val="clear" w:color="auto" w:fill="D8F0E2"/>
            <w:vAlign w:val="center"/>
          </w:tcPr>
          <w:p w:rsidR="00F25EB6" w:rsidRPr="00F25EB6" w:rsidP="00F25EB6" w14:paraId="557302A0" w14:textId="377D9AC8">
            <w:pPr>
              <w:pStyle w:val="BodyText"/>
            </w:pPr>
            <w:r w:rsidRPr="00F25EB6">
              <w:t>Up to $14,502 for each violation</w:t>
            </w:r>
          </w:p>
        </w:tc>
      </w:tr>
      <w:tr w14:paraId="3099003D" w14:textId="77777777" w:rsidTr="001D16AE">
        <w:tblPrEx>
          <w:tblW w:w="7110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0"/>
        </w:trPr>
        <w:tc>
          <w:tcPr>
            <w:tcW w:w="2070" w:type="dxa"/>
            <w:shd w:val="clear" w:color="auto" w:fill="BDE5CD"/>
            <w:vAlign w:val="center"/>
          </w:tcPr>
          <w:p w:rsidR="00F25EB6" w:rsidRPr="00501373" w:rsidP="00F25EB6" w14:paraId="12E7BF64" w14:textId="77777777">
            <w:pPr>
              <w:pStyle w:val="BodyText"/>
              <w:jc w:val="left"/>
            </w:pPr>
            <w:r w:rsidRPr="00501373">
              <w:t>Serious violation</w:t>
            </w:r>
          </w:p>
        </w:tc>
        <w:tc>
          <w:tcPr>
            <w:tcW w:w="2520" w:type="dxa"/>
            <w:shd w:val="clear" w:color="auto" w:fill="BDE5CD"/>
          </w:tcPr>
          <w:p w:rsidR="00F25EB6" w:rsidRPr="00F25EB6" w:rsidP="00F25EB6" w14:paraId="299A50E5" w14:textId="1B443985">
            <w:pPr>
              <w:pStyle w:val="BodyText"/>
            </w:pPr>
            <w:r w:rsidRPr="00F25EB6">
              <w:t>Up to $13,653 for each violation</w:t>
            </w:r>
          </w:p>
        </w:tc>
        <w:tc>
          <w:tcPr>
            <w:tcW w:w="2520" w:type="dxa"/>
            <w:shd w:val="clear" w:color="auto" w:fill="BDE5CD"/>
            <w:vAlign w:val="center"/>
          </w:tcPr>
          <w:p w:rsidR="00F25EB6" w:rsidRPr="00F25EB6" w:rsidP="00F25EB6" w14:paraId="5FA60C35" w14:textId="2FF3CFF4">
            <w:pPr>
              <w:pStyle w:val="BodyText"/>
            </w:pPr>
            <w:r w:rsidRPr="00A35A5B">
              <w:t>Up to $14,502 for each violation</w:t>
            </w:r>
          </w:p>
        </w:tc>
      </w:tr>
      <w:tr w14:paraId="45087BA6" w14:textId="77777777" w:rsidTr="001D16AE">
        <w:tblPrEx>
          <w:tblW w:w="7110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0"/>
        </w:trPr>
        <w:tc>
          <w:tcPr>
            <w:tcW w:w="2070" w:type="dxa"/>
            <w:shd w:val="clear" w:color="auto" w:fill="D8F0E2"/>
            <w:vAlign w:val="center"/>
          </w:tcPr>
          <w:p w:rsidR="00F25EB6" w:rsidRPr="00501373" w:rsidP="00F25EB6" w14:paraId="78AAF7C7" w14:textId="77777777">
            <w:pPr>
              <w:pStyle w:val="BodyText"/>
              <w:jc w:val="left"/>
            </w:pPr>
            <w:r w:rsidRPr="00501373">
              <w:t>Willful violation</w:t>
            </w:r>
          </w:p>
        </w:tc>
        <w:tc>
          <w:tcPr>
            <w:tcW w:w="2520" w:type="dxa"/>
            <w:shd w:val="clear" w:color="auto" w:fill="D8F0E2"/>
          </w:tcPr>
          <w:p w:rsidR="00F25EB6" w:rsidRPr="00F25EB6" w:rsidP="00F25EB6" w14:paraId="3E30E89A" w14:textId="1F5D0FB5">
            <w:pPr>
              <w:pStyle w:val="BodyText"/>
            </w:pPr>
            <w:r w:rsidRPr="00F25EB6">
              <w:t>Between $9,753 and $136,532 per violation</w:t>
            </w:r>
          </w:p>
        </w:tc>
        <w:tc>
          <w:tcPr>
            <w:tcW w:w="2520" w:type="dxa"/>
            <w:shd w:val="clear" w:color="auto" w:fill="D8F0E2"/>
            <w:vAlign w:val="center"/>
          </w:tcPr>
          <w:p w:rsidR="00F25EB6" w:rsidRPr="00F25EB6" w:rsidP="00F25EB6" w14:paraId="51F090CB" w14:textId="1ABBB9BE">
            <w:pPr>
              <w:pStyle w:val="BodyText"/>
            </w:pPr>
            <w:r w:rsidRPr="00A35A5B">
              <w:t>Between $</w:t>
            </w:r>
            <w:r w:rsidR="00A35A5B">
              <w:t>10,360</w:t>
            </w:r>
            <w:r w:rsidRPr="00A35A5B">
              <w:t xml:space="preserve"> and $1</w:t>
            </w:r>
            <w:r w:rsidR="00A35A5B">
              <w:t>45,027</w:t>
            </w:r>
            <w:r w:rsidRPr="00A35A5B">
              <w:t xml:space="preserve"> per violation</w:t>
            </w:r>
          </w:p>
        </w:tc>
      </w:tr>
      <w:tr w14:paraId="463A535A" w14:textId="77777777" w:rsidTr="001D16AE">
        <w:tblPrEx>
          <w:tblW w:w="7110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367"/>
        </w:trPr>
        <w:tc>
          <w:tcPr>
            <w:tcW w:w="2070" w:type="dxa"/>
            <w:shd w:val="clear" w:color="auto" w:fill="BDE5CD"/>
            <w:vAlign w:val="center"/>
          </w:tcPr>
          <w:p w:rsidR="00F25EB6" w:rsidRPr="00501373" w:rsidP="00F25EB6" w14:paraId="717C69E4" w14:textId="77777777">
            <w:pPr>
              <w:pStyle w:val="BodyText"/>
              <w:jc w:val="left"/>
            </w:pPr>
            <w:r w:rsidRPr="00501373">
              <w:t>Uncorrected violation</w:t>
            </w:r>
          </w:p>
        </w:tc>
        <w:tc>
          <w:tcPr>
            <w:tcW w:w="2520" w:type="dxa"/>
            <w:shd w:val="clear" w:color="auto" w:fill="BDE5CD"/>
          </w:tcPr>
          <w:p w:rsidR="00F25EB6" w:rsidRPr="00F25EB6" w:rsidP="00F25EB6" w14:paraId="54422F9F" w14:textId="6AEB6A19">
            <w:pPr>
              <w:pStyle w:val="BodyText"/>
            </w:pPr>
            <w:r w:rsidRPr="00F25EB6">
              <w:t>Up to $13,563 per day until the violation is corrected</w:t>
            </w:r>
          </w:p>
        </w:tc>
        <w:tc>
          <w:tcPr>
            <w:tcW w:w="2520" w:type="dxa"/>
            <w:shd w:val="clear" w:color="auto" w:fill="BDE5CD"/>
            <w:vAlign w:val="center"/>
          </w:tcPr>
          <w:p w:rsidR="00F25EB6" w:rsidRPr="00F25EB6" w:rsidP="00F25EB6" w14:paraId="4CF740D2" w14:textId="53EBF554">
            <w:pPr>
              <w:pStyle w:val="BodyText"/>
            </w:pPr>
            <w:r w:rsidRPr="00A35A5B">
              <w:t>Up to $1</w:t>
            </w:r>
            <w:r w:rsidR="00A35A5B">
              <w:t>4,502</w:t>
            </w:r>
            <w:r w:rsidRPr="00A35A5B">
              <w:t xml:space="preserve"> per day until the violation is corrected</w:t>
            </w:r>
          </w:p>
        </w:tc>
      </w:tr>
    </w:tbl>
    <w:p w:rsidR="008E7658" w:rsidRPr="004967FA" w:rsidP="008E7658" w14:paraId="469C7298" w14:textId="310B582B">
      <w:pPr>
        <w:pStyle w:val="BodyText"/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5697220</wp:posOffset>
                </wp:positionV>
                <wp:extent cx="7771765" cy="2522855"/>
                <wp:effectExtent l="0" t="0" r="63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1765" cy="2522855"/>
                          <a:chOff x="3658" y="0"/>
                          <a:chExt cx="7764448" cy="252322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8" y="0"/>
                            <a:ext cx="7764448" cy="62992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8760" y="68580"/>
                            <a:ext cx="2293620" cy="245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C53" w:rsidRPr="00A47C53" w:rsidP="00CF5E21" w14:textId="743A0B51">
                              <w:pPr>
                                <w:pStyle w:val="CallOutBox"/>
                              </w:pPr>
                              <w:r w:rsidRPr="008E7658">
                                <w:t>The increased amounts apply to civil penalties that are assessed</w:t>
                              </w:r>
                              <w:r w:rsidR="00A35A5B">
                                <w:t xml:space="preserve"> on or</w:t>
                              </w:r>
                              <w:r w:rsidRPr="008E7658">
                                <w:t xml:space="preserve"> after Jan. 15, 202</w:t>
                              </w:r>
                              <w:r w:rsidR="00A35A5B">
                                <w:t>2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width:611.95pt;height:198.65pt;margin-top:448.6pt;margin-left:-36pt;mso-position-vertical-relative:page;position:absolute;z-index:-251654144" coordorigin="36,0" coordsize="77644,25232">
                <v:shape id="Picture 5" o:spid="_x0000_s1031" type="#_x0000_t75" style="width:77645;height:6299;left:36;mso-wrap-style:square;position:absolute;visibility:visible">
                  <v:imagedata r:id="rId7" o:title=""/>
                </v:shape>
                <v:shape id="_x0000_s1032" type="#_x0000_t202" style="width:22936;height:24547;left:53187;mso-wrap-style:square;position:absolute;top:685;v-text-anchor:middle;visibility:visible" filled="f" stroked="f">
                  <v:textbox>
                    <w:txbxContent>
                      <w:p w:rsidR="00A47C53" w:rsidRPr="00A47C53" w:rsidP="00CF5E21" w14:paraId="7540D1CC" w14:textId="743A0B51">
                        <w:pPr>
                          <w:pStyle w:val="CallOutBox"/>
                        </w:pPr>
                        <w:r w:rsidRPr="008E7658">
                          <w:t>The increased amounts apply to civil penalties that are assessed</w:t>
                        </w:r>
                        <w:r w:rsidR="00A35A5B">
                          <w:t xml:space="preserve"> on or</w:t>
                        </w:r>
                        <w:r w:rsidRPr="008E7658">
                          <w:t xml:space="preserve"> after Jan. 15, 202</w:t>
                        </w:r>
                        <w:r w:rsidR="00A35A5B">
                          <w:t>2</w: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B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6074410</wp:posOffset>
                </wp:positionV>
                <wp:extent cx="4409440" cy="5384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944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B15" w:rsidRPr="008864AB" w:rsidP="008F7B15" w14:textId="77777777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8864A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36117A">
                              <w:rPr>
                                <w:b/>
                                <w:color w:val="39945E"/>
                                <w:sz w:val="20"/>
                                <w:szCs w:val="20"/>
                              </w:rPr>
                              <w:t>Foundation Risk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width:347.2pt;height:42.4pt;margin-top:478.3pt;margin-left:0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8F7B15" w:rsidRPr="008864AB" w:rsidP="008F7B15" w14:paraId="48295012" w14:textId="77777777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8864A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36117A">
                        <w:rPr>
                          <w:b/>
                          <w:color w:val="39945E"/>
                          <w:sz w:val="20"/>
                          <w:szCs w:val="20"/>
                        </w:rPr>
                        <w:t>Foundation Risk Partners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80382" w:rsidR="008E7658">
        <w:t>Employers should become familiar with the new penalty amounts and review their safety protocols to ensure compliance with federal requirements.</w:t>
      </w:r>
    </w:p>
    <w:sectPr w:rsidSect="008A7E71">
      <w:headerReference w:type="default" r:id="rId8"/>
      <w:footerReference w:type="default" r:id="rId9"/>
      <w:pgSz w:w="12240" w:h="15840"/>
      <w:pgMar w:top="3946" w:right="46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4627188C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-53340</wp:posOffset>
              </wp:positionH>
              <wp:positionV relativeFrom="paragraph">
                <wp:posOffset>-294005</wp:posOffset>
              </wp:positionV>
              <wp:extent cx="4732020" cy="55626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3202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6AD3" w:rsidRPr="00817EEE" w:rsidP="00796AD3" w14:textId="32670DCE">
                          <w:pPr>
                            <w:pStyle w:val="Disclaimer"/>
                          </w:pPr>
                          <w:r w:rsidRPr="00947E11">
                            <w:rPr>
                              <w:szCs w:val="16"/>
                            </w:rPr>
                            <w:t xml:space="preserve">This </w:t>
                          </w:r>
                          <w:r>
                            <w:rPr>
                              <w:szCs w:val="16"/>
                            </w:rPr>
                            <w:t>Legal Update</w:t>
                          </w:r>
                          <w:r w:rsidRPr="00947E11">
                            <w:rPr>
                              <w:szCs w:val="16"/>
                            </w:rPr>
                            <w:t xml:space="preserve"> is not intended to be exhaustive nor should any discussion or </w:t>
                          </w:r>
                          <w:r w:rsidR="008864AB">
                            <w:rPr>
                              <w:szCs w:val="16"/>
                            </w:rPr>
                            <w:t>o</w:t>
                          </w:r>
                          <w:r w:rsidRPr="00947E11">
                            <w:rPr>
                              <w:szCs w:val="16"/>
                            </w:rPr>
                            <w:t xml:space="preserve">pinions be construed as legal advice. Readers should contact </w:t>
                          </w:r>
                          <w:r>
                            <w:rPr>
                              <w:szCs w:val="16"/>
                            </w:rPr>
                            <w:t xml:space="preserve">legal counsel for legal advice. </w:t>
                          </w:r>
                          <w:r w:rsidRPr="00817EEE">
                            <w:t>©20</w:t>
                          </w:r>
                          <w:r w:rsidR="008E7658">
                            <w:t>2</w:t>
                          </w:r>
                          <w:r w:rsidR="00A35A5B">
                            <w:t>2</w:t>
                          </w:r>
                          <w:r>
                            <w:t xml:space="preserve"> </w:t>
                          </w:r>
                          <w:r w:rsidRPr="00817EEE">
                            <w:t>Zywave, Inc.</w:t>
                          </w:r>
                          <w:r>
                            <w:t xml:space="preserve"> </w:t>
                          </w:r>
                          <w:r w:rsidRPr="00817EEE">
                            <w:t>All rights reserved.</w:t>
                          </w: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8F7B15" w:rsidRPr="00947E11" w:rsidP="008F7B15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2050" type="#_x0000_t202" style="width:372.6pt;height:43.8pt;margin-top:-23.1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<v:textbox>
                <w:txbxContent>
                  <w:p w:rsidR="00796AD3" w:rsidRPr="00817EEE" w:rsidP="00796AD3" w14:paraId="520A7FDC" w14:textId="32670DCE">
                    <w:pPr>
                      <w:pStyle w:val="Disclaimer"/>
                    </w:pPr>
                    <w:r w:rsidRPr="00947E11">
                      <w:rPr>
                        <w:szCs w:val="16"/>
                      </w:rPr>
                      <w:t xml:space="preserve">This </w:t>
                    </w:r>
                    <w:r>
                      <w:rPr>
                        <w:szCs w:val="16"/>
                      </w:rPr>
                      <w:t>Legal Update</w:t>
                    </w:r>
                    <w:r w:rsidRPr="00947E11">
                      <w:rPr>
                        <w:szCs w:val="16"/>
                      </w:rPr>
                      <w:t xml:space="preserve"> is not intended to be exhaustive nor should any discussion or </w:t>
                    </w:r>
                    <w:r w:rsidR="008864AB">
                      <w:rPr>
                        <w:szCs w:val="16"/>
                      </w:rPr>
                      <w:t>o</w:t>
                    </w:r>
                    <w:r w:rsidRPr="00947E11">
                      <w:rPr>
                        <w:szCs w:val="16"/>
                      </w:rPr>
                      <w:t xml:space="preserve">pinions be construed as legal advice. Readers should contact </w:t>
                    </w:r>
                    <w:r>
                      <w:rPr>
                        <w:szCs w:val="16"/>
                      </w:rPr>
                      <w:t xml:space="preserve">legal counsel for legal advice. </w:t>
                    </w:r>
                    <w:r w:rsidRPr="00817EEE">
                      <w:t>©20</w:t>
                    </w:r>
                    <w:r w:rsidR="008E7658">
                      <w:t>2</w:t>
                    </w:r>
                    <w:r w:rsidR="00A35A5B">
                      <w:t>2</w:t>
                    </w:r>
                    <w:r>
                      <w:t xml:space="preserve"> </w:t>
                    </w:r>
                    <w:r w:rsidRPr="00817EEE">
                      <w:t>Zywave, Inc.</w:t>
                    </w:r>
                    <w:r>
                      <w:t xml:space="preserve"> </w:t>
                    </w:r>
                    <w:r w:rsidRPr="00817EEE">
                      <w:t>All rights reserved.</w:t>
                    </w:r>
                  </w:p>
                  <w:p w:rsidR="00796AD3" w:rsidRPr="00947E11" w:rsidP="00796AD3" w14:paraId="77D80F0F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796AD3" w:rsidRPr="00947E11" w:rsidP="00796AD3" w14:paraId="36C6A11F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8F7B15" w:rsidRPr="00947E11" w:rsidP="008F7B15" w14:paraId="7D1FE0AC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5F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7620</wp:posOffset>
              </wp:positionH>
              <wp:positionV relativeFrom="margin">
                <wp:posOffset>6043930</wp:posOffset>
              </wp:positionV>
              <wp:extent cx="4366260" cy="0"/>
              <wp:effectExtent l="19050" t="1905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366260" cy="0"/>
                      </a:xfrm>
                      <a:prstGeom prst="line">
                        <a:avLst/>
                      </a:prstGeom>
                      <a:ln w="44450">
                        <a:solidFill>
                          <a:srgbClr val="39945E">
                            <a:alpha val="75000"/>
                          </a:srgb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2051" style="flip:x 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z-index:251662336" from="0.6pt,475.9pt" to="344.4pt,475.9pt" strokecolor="#39945e" strokeweight="3.5pt">
              <v:stroke joinstyle="miter" opacity="49087f"/>
              <w10:wrap anchorx="margin" anchory="margin"/>
            </v:line>
          </w:pict>
        </mc:Fallback>
      </mc:AlternateContent>
    </w:r>
    <w:r w:rsidR="0098636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2793257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72397" cy="3856497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3856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A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ge">
                <wp:posOffset>2550160</wp:posOffset>
              </wp:positionV>
              <wp:extent cx="2413000" cy="32956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AF9" w:rsidRPr="00D35AF9" w:rsidP="00D35AF9" w14:textId="77777777">
                          <w:pPr>
                            <w:pStyle w:val="SubHead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Important Dates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90pt;height:25.95pt;margin-top:200.8pt;margin-left:5in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0288" filled="f" stroked="f">
              <v:textbox>
                <w:txbxContent>
                  <w:p w:rsidR="00D35AF9" w:rsidRPr="00D35AF9" w:rsidP="00D35AF9" w14:paraId="7189E2F1" w14:textId="77777777">
                    <w:pPr>
                      <w:pStyle w:val="SubHead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Important Dates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95063"/>
    <w:multiLevelType w:val="hybridMultilevel"/>
    <w:tmpl w:val="918040C0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39945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2C72"/>
    <w:multiLevelType w:val="multilevel"/>
    <w:tmpl w:val="B13CDD56"/>
    <w:numStyleLink w:val="BulletedList"/>
  </w:abstractNum>
  <w:abstractNum w:abstractNumId="2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54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9945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9378B"/>
    <w:multiLevelType w:val="hybridMultilevel"/>
    <w:tmpl w:val="FA9CDBDA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39945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73"/>
    <w:rsid w:val="000157BD"/>
    <w:rsid w:val="000F3969"/>
    <w:rsid w:val="001050A8"/>
    <w:rsid w:val="0012162D"/>
    <w:rsid w:val="00155A3C"/>
    <w:rsid w:val="001631A4"/>
    <w:rsid w:val="001725D9"/>
    <w:rsid w:val="00180382"/>
    <w:rsid w:val="001872E5"/>
    <w:rsid w:val="001B1A7E"/>
    <w:rsid w:val="001F53DA"/>
    <w:rsid w:val="0024208C"/>
    <w:rsid w:val="00246124"/>
    <w:rsid w:val="0026000D"/>
    <w:rsid w:val="002B61D1"/>
    <w:rsid w:val="002F786C"/>
    <w:rsid w:val="003267EB"/>
    <w:rsid w:val="0036117A"/>
    <w:rsid w:val="003811FE"/>
    <w:rsid w:val="00383834"/>
    <w:rsid w:val="00395241"/>
    <w:rsid w:val="003A5EEA"/>
    <w:rsid w:val="003A6B72"/>
    <w:rsid w:val="003D2B9E"/>
    <w:rsid w:val="004423F9"/>
    <w:rsid w:val="0048508B"/>
    <w:rsid w:val="00485C3A"/>
    <w:rsid w:val="004967FA"/>
    <w:rsid w:val="004B125C"/>
    <w:rsid w:val="004D2A83"/>
    <w:rsid w:val="004D34B3"/>
    <w:rsid w:val="00501373"/>
    <w:rsid w:val="00506105"/>
    <w:rsid w:val="00584B55"/>
    <w:rsid w:val="00592890"/>
    <w:rsid w:val="005D05D9"/>
    <w:rsid w:val="00644A90"/>
    <w:rsid w:val="00670DCB"/>
    <w:rsid w:val="006721FD"/>
    <w:rsid w:val="006A1103"/>
    <w:rsid w:val="006A2A41"/>
    <w:rsid w:val="006E0A1E"/>
    <w:rsid w:val="00705996"/>
    <w:rsid w:val="00707343"/>
    <w:rsid w:val="00770406"/>
    <w:rsid w:val="00796AD3"/>
    <w:rsid w:val="007D64F3"/>
    <w:rsid w:val="007E5CC1"/>
    <w:rsid w:val="007F6CA5"/>
    <w:rsid w:val="00802FF0"/>
    <w:rsid w:val="00817EEE"/>
    <w:rsid w:val="00855DD7"/>
    <w:rsid w:val="00856044"/>
    <w:rsid w:val="00860373"/>
    <w:rsid w:val="00871E9E"/>
    <w:rsid w:val="008864AB"/>
    <w:rsid w:val="008A7E71"/>
    <w:rsid w:val="008D2C6F"/>
    <w:rsid w:val="008E7658"/>
    <w:rsid w:val="008F7B15"/>
    <w:rsid w:val="00926535"/>
    <w:rsid w:val="009440BA"/>
    <w:rsid w:val="00947E11"/>
    <w:rsid w:val="00977A6A"/>
    <w:rsid w:val="0098636D"/>
    <w:rsid w:val="00993033"/>
    <w:rsid w:val="009D4BB6"/>
    <w:rsid w:val="009E2B6A"/>
    <w:rsid w:val="009E4DC9"/>
    <w:rsid w:val="00A13D0A"/>
    <w:rsid w:val="00A337BD"/>
    <w:rsid w:val="00A35A5B"/>
    <w:rsid w:val="00A47C53"/>
    <w:rsid w:val="00A65FD8"/>
    <w:rsid w:val="00A85321"/>
    <w:rsid w:val="00AA0A80"/>
    <w:rsid w:val="00AC507A"/>
    <w:rsid w:val="00AD0649"/>
    <w:rsid w:val="00B07879"/>
    <w:rsid w:val="00B212AD"/>
    <w:rsid w:val="00B55F80"/>
    <w:rsid w:val="00B862FF"/>
    <w:rsid w:val="00BA7D47"/>
    <w:rsid w:val="00BE45C1"/>
    <w:rsid w:val="00C741AE"/>
    <w:rsid w:val="00CB4514"/>
    <w:rsid w:val="00CF5E21"/>
    <w:rsid w:val="00D10429"/>
    <w:rsid w:val="00D212B7"/>
    <w:rsid w:val="00D35AF9"/>
    <w:rsid w:val="00D379D5"/>
    <w:rsid w:val="00D76FCB"/>
    <w:rsid w:val="00DC3880"/>
    <w:rsid w:val="00E16E6C"/>
    <w:rsid w:val="00E378E3"/>
    <w:rsid w:val="00E73236"/>
    <w:rsid w:val="00EC2053"/>
    <w:rsid w:val="00F06E1E"/>
    <w:rsid w:val="00F25EB6"/>
    <w:rsid w:val="00F32D2D"/>
    <w:rsid w:val="00F32F5A"/>
  </w:rsids>
  <w:docVars>
    <w:docVar w:name="__Grammarly_42___1" w:val="H4sIAAAAAAAEAKtWcslP9kxRslIyNDayMDMzMTA3NzU2NjY0MDFX0lEKTi0uzszPAykwqgUAi7jLD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2BACE0"/>
  <w15:chartTrackingRefBased/>
  <w15:docId w15:val="{18907A89-E22E-48C8-A15A-8683E3D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36117A"/>
    <w:pPr>
      <w:spacing w:after="120" w:line="228" w:lineRule="auto"/>
    </w:pPr>
    <w:rPr>
      <w:b/>
      <w:color w:val="39945E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36117A"/>
    <w:rPr>
      <w:b/>
      <w:color w:val="39945E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2B61D1"/>
    <w:pPr>
      <w:spacing w:after="0" w:line="216" w:lineRule="auto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2B61D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36117A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E16E6C"/>
    <w:pPr>
      <w:numPr>
        <w:numId w:val="3"/>
      </w:numPr>
      <w:tabs>
        <w:tab w:val="left" w:pos="540"/>
      </w:tabs>
      <w:ind w:hanging="450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E16E6C"/>
    <w:pPr>
      <w:numPr>
        <w:numId w:val="4"/>
      </w:numPr>
      <w:ind w:hanging="450"/>
    </w:pPr>
  </w:style>
  <w:style w:type="character" w:customStyle="1" w:styleId="CheckboxChar">
    <w:name w:val="Checkbox Char"/>
    <w:basedOn w:val="BulletListChar"/>
    <w:link w:val="Checkbox"/>
    <w:rsid w:val="00E16E6C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36117A"/>
    <w:pPr>
      <w:jc w:val="center"/>
    </w:pPr>
    <w:rPr>
      <w:b/>
      <w:i/>
      <w:color w:val="39945E"/>
      <w:sz w:val="36"/>
      <w:szCs w:val="36"/>
    </w:rPr>
  </w:style>
  <w:style w:type="character" w:customStyle="1" w:styleId="XboxChar">
    <w:name w:val="Xbox Char"/>
    <w:basedOn w:val="CheckboxChar"/>
    <w:link w:val="Xbox"/>
    <w:rsid w:val="00E16E6C"/>
    <w:rPr>
      <w:rFonts w:ascii="Calibri" w:eastAsia="Times New Roman" w:hAnsi="Calibri" w:cs="Arial"/>
      <w:color w:val="595959"/>
      <w:szCs w:val="20"/>
    </w:rPr>
  </w:style>
  <w:style w:type="character" w:customStyle="1" w:styleId="CallOutBoxChar">
    <w:name w:val="Call Out Box Char"/>
    <w:basedOn w:val="FooterChar"/>
    <w:link w:val="CallOutBox"/>
    <w:rsid w:val="0036117A"/>
    <w:rPr>
      <w:b/>
      <w:i/>
      <w:color w:val="39945E"/>
      <w:sz w:val="36"/>
      <w:szCs w:val="36"/>
    </w:rPr>
  </w:style>
  <w:style w:type="numbering" w:customStyle="1" w:styleId="BulletedList">
    <w:name w:val="Bulleted List"/>
    <w:uiPriority w:val="99"/>
    <w:rsid w:val="00B862FF"/>
    <w:pPr>
      <w:numPr>
        <w:numId w:val="5"/>
      </w:numPr>
    </w:pPr>
  </w:style>
  <w:style w:type="paragraph" w:customStyle="1" w:styleId="Bullet">
    <w:name w:val="Bullet"/>
    <w:basedOn w:val="BodyText"/>
    <w:link w:val="BulletChar"/>
    <w:qFormat/>
    <w:rsid w:val="00383834"/>
    <w:pPr>
      <w:numPr>
        <w:numId w:val="7"/>
      </w:numPr>
      <w:spacing w:after="0"/>
    </w:pPr>
  </w:style>
  <w:style w:type="character" w:customStyle="1" w:styleId="BulletChar">
    <w:name w:val="Bullet Char"/>
    <w:basedOn w:val="BodyTextChar"/>
    <w:link w:val="Bullet"/>
    <w:rsid w:val="00383834"/>
    <w:rPr>
      <w:rFonts w:ascii="Calibri" w:eastAsia="Times New Roman" w:hAnsi="Calibri" w:cs="Arial"/>
      <w:color w:val="595959"/>
      <w:szCs w:val="20"/>
    </w:rPr>
  </w:style>
  <w:style w:type="character" w:styleId="Hyperlink">
    <w:name w:val="Hyperlink"/>
    <w:basedOn w:val="DefaultParagraphFont"/>
    <w:uiPriority w:val="99"/>
    <w:unhideWhenUsed/>
    <w:rsid w:val="00501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C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federalregister.gov/documents/2022/01/14/2022-00144/department-of-labor-federal-civil-penalties-inflation-adjustment-act-annual-adjustments-for-2022" TargetMode="External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Amado, Juan</dc:creator>
  <cp:lastModifiedBy>Schlosser, Janelle</cp:lastModifiedBy>
  <cp:revision>2</cp:revision>
  <dcterms:created xsi:type="dcterms:W3CDTF">2022-01-21T14:20:00Z</dcterms:created>
  <dcterms:modified xsi:type="dcterms:W3CDTF">2022-01-21T14:20:00Z</dcterms:modified>
</cp:coreProperties>
</file>